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D3239" w14:textId="77777777" w:rsidR="002B3B9D" w:rsidRDefault="002B3B9D" w:rsidP="002B3B9D">
      <w:r>
        <w:t>Mihai Viteazul</w:t>
      </w:r>
    </w:p>
    <w:p w14:paraId="23BC7440" w14:textId="77777777" w:rsidR="002B3B9D" w:rsidRDefault="002B3B9D" w:rsidP="002B3B9D"/>
    <w:p w14:paraId="0FC46FEE" w14:textId="77777777" w:rsidR="002B3B9D" w:rsidRDefault="002B3B9D" w:rsidP="002B3B9D">
      <w:r>
        <w:t>Mihai Viteazul (n. 1558, Floci, Țara Românească – d. 9/19 august 1601, Câmpia Turzii, Principatul Transilvaniei) a fost domnul Țării Românești între 1593-1600. Pentru o perioadă (în 1600), a fost conducător de facto al celor trei state medievale care formează România de astăzi: Țara Românească, Transilvania și Moldova. Înainte de a ajunge pe tron, ca boier, a deținut dregătoriile de bănișor de Strehaia, stolnic domnesc și ban al Craiovei.</w:t>
      </w:r>
    </w:p>
    <w:p w14:paraId="7E06B0AC" w14:textId="77777777" w:rsidR="002B3B9D" w:rsidRDefault="002B3B9D" w:rsidP="002B3B9D">
      <w:r>
        <w:t xml:space="preserve">Figura lui Mihai Viteazul a ajuns în panteonul național românesc după ce a fost recuperată de istoriografia românească a secolului al XIX-lea, un rol important jucându-l opul Românii supt Mihai-Voievod Viteazul al lui Nicolae Bălcescu. Astfel voievodul a ajuns un precursor important al unificării românilor, care avea să se realizeze în secolul al XX-lea. </w:t>
      </w:r>
    </w:p>
    <w:p w14:paraId="61B4A94F" w14:textId="77777777" w:rsidR="002B3B9D" w:rsidRDefault="002B3B9D" w:rsidP="002B3B9D"/>
    <w:p w14:paraId="6AD036CE" w14:textId="77777777" w:rsidR="002B3B9D" w:rsidRPr="002B3B9D" w:rsidRDefault="002B3B9D" w:rsidP="002B3B9D">
      <w:pPr>
        <w:spacing w:line="360" w:lineRule="auto"/>
        <w:ind w:left="851"/>
        <w:rPr>
          <w:rFonts w:ascii="Arial" w:hAnsi="Arial" w:cs="Arial"/>
          <w:i/>
          <w:iCs/>
        </w:rPr>
      </w:pPr>
      <w:r w:rsidRPr="002B3B9D">
        <w:rPr>
          <w:rFonts w:ascii="Arial" w:hAnsi="Arial" w:cs="Arial"/>
          <w:i/>
          <w:iCs/>
        </w:rPr>
        <w:t>Originea și primii ani ai vieții</w:t>
      </w:r>
    </w:p>
    <w:p w14:paraId="5AFC6FBC" w14:textId="77777777" w:rsidR="002B3B9D" w:rsidRPr="002B3B9D" w:rsidRDefault="002B3B9D" w:rsidP="002B3B9D">
      <w:pPr>
        <w:spacing w:line="360" w:lineRule="auto"/>
        <w:ind w:left="851"/>
        <w:rPr>
          <w:rFonts w:ascii="Arial" w:hAnsi="Arial" w:cs="Arial"/>
          <w:i/>
          <w:iCs/>
        </w:rPr>
      </w:pPr>
    </w:p>
    <w:p w14:paraId="5931FFD4" w14:textId="50835FBB" w:rsidR="002B3B9D" w:rsidRPr="002B3B9D" w:rsidRDefault="002B3B9D" w:rsidP="002B3B9D">
      <w:pPr>
        <w:spacing w:line="360" w:lineRule="auto"/>
        <w:ind w:left="851"/>
        <w:rPr>
          <w:rFonts w:ascii="Arial" w:hAnsi="Arial" w:cs="Arial"/>
          <w:i/>
          <w:iCs/>
        </w:rPr>
      </w:pPr>
      <w:r w:rsidRPr="002B3B9D">
        <w:rPr>
          <w:rFonts w:ascii="Arial" w:hAnsi="Arial" w:cs="Arial"/>
          <w:i/>
          <w:iCs/>
        </w:rPr>
        <w:t>În anul 1601, în timpul unei șederi la Praga, a fost portretizat de pictorul Egidius Sadeler, care a menționat pe marginea portretului aetatis XLIII, adică "în al 43-lea an al vieții", ceea ce indică drept an al nașterii lui Mihai anul 1558.[8]</w:t>
      </w:r>
    </w:p>
    <w:p w14:paraId="6E305110" w14:textId="77777777" w:rsidR="002B3B9D" w:rsidRPr="002B3B9D" w:rsidRDefault="002B3B9D" w:rsidP="002B3B9D">
      <w:pPr>
        <w:spacing w:line="360" w:lineRule="auto"/>
        <w:ind w:left="851"/>
        <w:rPr>
          <w:rFonts w:ascii="Arial" w:hAnsi="Arial" w:cs="Arial"/>
          <w:i/>
          <w:iCs/>
        </w:rPr>
      </w:pPr>
      <w:r w:rsidRPr="002B3B9D">
        <w:rPr>
          <w:rFonts w:ascii="Arial" w:hAnsi="Arial" w:cs="Arial"/>
          <w:i/>
          <w:iCs/>
        </w:rPr>
        <w:t>Domnul Pătrașcu cel Bun, considerat multă vreme ca fiind tatăl nelegitim al lui Mihai, a murit în 1557. Împrejurarea ca Pătrașcu să fi avut relații extraconjugale în anul morții sale apare ca foarte improbabilă, având în vedere faptul că a murit în urma unei lungi boli, pentru tratarea căreia a cerut medici de la Sibiu.[9] Ipoteza ca Mihai să fi fost fiul postum al lui Pătrașcu a fost exclusă și de Petre Panaitescu, cu argumente onomastice, genealogice, precum și pe baza cronicilor de epocă.[10]</w:t>
      </w:r>
    </w:p>
    <w:p w14:paraId="4EA2C5FA" w14:textId="77777777" w:rsidR="002B3B9D" w:rsidRPr="002B3B9D" w:rsidRDefault="002B3B9D" w:rsidP="002B3B9D">
      <w:pPr>
        <w:spacing w:line="360" w:lineRule="auto"/>
        <w:ind w:left="851"/>
        <w:rPr>
          <w:rFonts w:ascii="Arial" w:hAnsi="Arial" w:cs="Arial"/>
          <w:i/>
          <w:iCs/>
        </w:rPr>
      </w:pPr>
      <w:r w:rsidRPr="002B3B9D">
        <w:rPr>
          <w:rFonts w:ascii="Arial" w:hAnsi="Arial" w:cs="Arial"/>
          <w:i/>
          <w:iCs/>
        </w:rPr>
        <w:t>Mama lui Mihai, Teodora sau Tudora, a fost, după unele surse, de neam grecesc (din vechea familie bizantină a Cantacuzinilor). După alte surse, era vânzătoare de rachiu, originară din Târgul de Floci, iar tatăl lui Mihai era grec.[11] Cronica lui Radu Popescu menționează că „Acest Mihai Vodă, după ce au luat domnia, s-a numit că este fecior lui Pătrașcu Vodă, iar cu adevărat nu se știe, că nici un istoric de-ai noștri sau striin nu adeverează cine iaste și cum au luat domnia, fără cât din auz unul din altul așa dovedim, că mumă-sa au fost de la Oraș dela Floci, care fiind văduvă și frumoasă și nemerind un gelep (negustor), om mare și bogat den Poarta împărătească și în casa ei zăbovindu-se câtăva vreme...”[12]</w:t>
      </w:r>
    </w:p>
    <w:p w14:paraId="5591E8B4" w14:textId="77777777" w:rsidR="002B3B9D" w:rsidRPr="002B3B9D" w:rsidRDefault="002B3B9D" w:rsidP="002B3B9D">
      <w:pPr>
        <w:spacing w:line="360" w:lineRule="auto"/>
        <w:ind w:left="851"/>
        <w:rPr>
          <w:rFonts w:ascii="Arial" w:hAnsi="Arial" w:cs="Arial"/>
          <w:i/>
          <w:iCs/>
        </w:rPr>
      </w:pPr>
      <w:r w:rsidRPr="002B3B9D">
        <w:rPr>
          <w:rFonts w:ascii="Arial" w:hAnsi="Arial" w:cs="Arial"/>
          <w:i/>
          <w:iCs/>
        </w:rPr>
        <w:t>Alte documente, aflate în custodia Academiei Române, precum și specificațiile din Condica episcopiei Râmnicului, atesta că Mihai Viteazul s-ar fi născut la Drăgoești, localitate aflată pe partea stângă a Oltului, județul Vâlcea. Aceleași surse mai specifică faptul că la Proieni, pe Valea Oltului, într-o veche biserică ortodoxă, s-ar fi cununat cu Doamna Stanca.[necesită citare]</w:t>
      </w:r>
    </w:p>
    <w:p w14:paraId="599915E9" w14:textId="77777777" w:rsidR="002B3B9D" w:rsidRPr="002B3B9D" w:rsidRDefault="002B3B9D" w:rsidP="002B3B9D">
      <w:pPr>
        <w:spacing w:line="360" w:lineRule="auto"/>
        <w:ind w:left="851"/>
        <w:rPr>
          <w:rFonts w:ascii="Arial" w:hAnsi="Arial" w:cs="Arial"/>
          <w:i/>
          <w:iCs/>
        </w:rPr>
      </w:pPr>
      <w:r w:rsidRPr="002B3B9D">
        <w:rPr>
          <w:rFonts w:ascii="Arial" w:hAnsi="Arial" w:cs="Arial"/>
          <w:i/>
          <w:iCs/>
        </w:rPr>
        <w:t>Mama sa, Teodora Cantacuzino, a fost soră cu Iane Cantacuzino, înalt dregător la Constantinopol și apoi ban al Craiovei, din familia Cantacuzino.</w:t>
      </w:r>
    </w:p>
    <w:p w14:paraId="60EA6149" w14:textId="77777777" w:rsidR="002B3B9D" w:rsidRPr="002B3B9D" w:rsidRDefault="002B3B9D" w:rsidP="002B3B9D">
      <w:pPr>
        <w:spacing w:line="360" w:lineRule="auto"/>
        <w:ind w:left="851"/>
        <w:rPr>
          <w:rFonts w:ascii="Arial" w:hAnsi="Arial" w:cs="Arial"/>
          <w:i/>
          <w:iCs/>
        </w:rPr>
      </w:pPr>
      <w:r w:rsidRPr="002B3B9D">
        <w:rPr>
          <w:rFonts w:ascii="Arial" w:hAnsi="Arial" w:cs="Arial"/>
          <w:i/>
          <w:iCs/>
        </w:rPr>
        <w:lastRenderedPageBreak/>
        <w:t>Intrarea lui Mihai Viteazul în Alba Iulia - Constantin Lecca</w:t>
      </w:r>
    </w:p>
    <w:p w14:paraId="1AA31EF7" w14:textId="77777777" w:rsidR="002B3B9D" w:rsidRPr="002B3B9D" w:rsidRDefault="002B3B9D" w:rsidP="002B3B9D">
      <w:pPr>
        <w:spacing w:line="360" w:lineRule="auto"/>
        <w:ind w:left="851"/>
        <w:rPr>
          <w:rFonts w:ascii="Arial" w:hAnsi="Arial" w:cs="Arial"/>
          <w:i/>
          <w:iCs/>
        </w:rPr>
      </w:pPr>
      <w:r w:rsidRPr="002B3B9D">
        <w:rPr>
          <w:rFonts w:ascii="Arial" w:hAnsi="Arial" w:cs="Arial"/>
          <w:i/>
          <w:iCs/>
        </w:rPr>
        <w:t xml:space="preserve">Armeanul Petre Grigorovici din Lemberg, unul din diplomații lui Mihai, a întocmit, probabil pentru informarea cercurilor austriece, o cronică a vieții domnitorului, document care s-a pierdut în forma originală, dar care s-a păstrat în compilația lui Stephanus Zamosius.[13] </w:t>
      </w:r>
    </w:p>
    <w:p w14:paraId="7EE79D5A" w14:textId="77777777" w:rsidR="002B3B9D" w:rsidRDefault="002B3B9D" w:rsidP="002B3B9D"/>
    <w:p w14:paraId="168C8BAC" w14:textId="77777777" w:rsidR="002B3B9D" w:rsidRPr="002B3B9D" w:rsidRDefault="002B3B9D" w:rsidP="002B3B9D">
      <w:pPr>
        <w:jc w:val="both"/>
        <w:rPr>
          <w:rFonts w:ascii="Times New Roman" w:hAnsi="Times New Roman" w:cs="Times New Roman"/>
          <w:b/>
          <w:bCs/>
          <w:sz w:val="28"/>
          <w:szCs w:val="24"/>
        </w:rPr>
      </w:pPr>
      <w:r w:rsidRPr="002B3B9D">
        <w:rPr>
          <w:rFonts w:ascii="Times New Roman" w:hAnsi="Times New Roman" w:cs="Times New Roman"/>
          <w:b/>
          <w:bCs/>
          <w:sz w:val="28"/>
          <w:szCs w:val="24"/>
        </w:rPr>
        <w:t>Ascensiunea politică</w:t>
      </w:r>
    </w:p>
    <w:p w14:paraId="28D6F045" w14:textId="77777777" w:rsidR="002B3B9D" w:rsidRPr="002B3B9D" w:rsidRDefault="002B3B9D" w:rsidP="002B3B9D">
      <w:pPr>
        <w:jc w:val="both"/>
        <w:rPr>
          <w:rFonts w:ascii="Times New Roman" w:hAnsi="Times New Roman" w:cs="Times New Roman"/>
          <w:b/>
          <w:bCs/>
          <w:sz w:val="28"/>
          <w:szCs w:val="24"/>
        </w:rPr>
      </w:pPr>
    </w:p>
    <w:p w14:paraId="58CC560A" w14:textId="77777777" w:rsidR="002B3B9D" w:rsidRPr="002B3B9D" w:rsidRDefault="002B3B9D" w:rsidP="002B3B9D">
      <w:pPr>
        <w:jc w:val="both"/>
        <w:rPr>
          <w:rFonts w:ascii="Times New Roman" w:hAnsi="Times New Roman" w:cs="Times New Roman"/>
          <w:b/>
          <w:bCs/>
          <w:sz w:val="28"/>
          <w:szCs w:val="24"/>
        </w:rPr>
      </w:pPr>
      <w:r w:rsidRPr="002B3B9D">
        <w:rPr>
          <w:rFonts w:ascii="Times New Roman" w:hAnsi="Times New Roman" w:cs="Times New Roman"/>
          <w:b/>
          <w:bCs/>
          <w:sz w:val="28"/>
          <w:szCs w:val="24"/>
        </w:rPr>
        <w:t>La sfârșitul anului 1588 devine stolnic al curții lui Mihnea Turcitul, iar în 1593 ban al Craiovei în timpul domniei lui Alexandru cel Rău.</w:t>
      </w:r>
    </w:p>
    <w:p w14:paraId="320DA8B5" w14:textId="77777777" w:rsidR="002B3B9D" w:rsidRPr="002B3B9D" w:rsidRDefault="002B3B9D" w:rsidP="002B3B9D">
      <w:pPr>
        <w:jc w:val="both"/>
        <w:rPr>
          <w:rFonts w:ascii="Times New Roman" w:hAnsi="Times New Roman" w:cs="Times New Roman"/>
          <w:b/>
          <w:bCs/>
          <w:sz w:val="28"/>
          <w:szCs w:val="24"/>
        </w:rPr>
      </w:pPr>
      <w:r w:rsidRPr="002B3B9D">
        <w:rPr>
          <w:rFonts w:ascii="Times New Roman" w:hAnsi="Times New Roman" w:cs="Times New Roman"/>
          <w:b/>
          <w:bCs/>
          <w:sz w:val="28"/>
          <w:szCs w:val="24"/>
        </w:rPr>
        <w:t>În septembrie 1593, după ce a plătit la Poarta Otomană, după obiceiul timpului, o sumă mare de bani (400.000 de florini[14]) și având și sprijinul patriarhului Constantinopolului, Mihai a devenit domn al Țării Românești la 2 septembrie/S.N. 12 septembrie 1593, înscăunarea sa având loc la București pe 15 octombrie/S.N. 25 octombrie, în același an.[15]</w:t>
      </w:r>
    </w:p>
    <w:p w14:paraId="510DF0E2" w14:textId="77777777" w:rsidR="002B3B9D" w:rsidRPr="002B3B9D" w:rsidRDefault="002B3B9D" w:rsidP="002B3B9D">
      <w:pPr>
        <w:jc w:val="both"/>
        <w:rPr>
          <w:rFonts w:ascii="Times New Roman" w:hAnsi="Times New Roman" w:cs="Times New Roman"/>
          <w:b/>
          <w:bCs/>
          <w:sz w:val="28"/>
          <w:szCs w:val="24"/>
        </w:rPr>
      </w:pPr>
      <w:r w:rsidRPr="002B3B9D">
        <w:rPr>
          <w:rFonts w:ascii="Times New Roman" w:hAnsi="Times New Roman" w:cs="Times New Roman"/>
          <w:b/>
          <w:bCs/>
          <w:sz w:val="28"/>
          <w:szCs w:val="24"/>
        </w:rPr>
        <w:t xml:space="preserve">Aderă la „Liga Sfântă” creștină, constituită din inițiativa Papei Clement al VIII-lea, din care inițial făceau parte Sfântul Imperiu Romano-German, Statul Papal, Spania, Austria, Ferrara, Mantova și Toscana (Anglia și Polonia au manifestat rezerve față de politica de cruciadă a papalității). Ulterior aderă și Transilvania, considerată factor decisiv în atragerea în alianță a celorlalte două state românești, Moldova și Țara Românească. Aron Vodă, domnul Moldovei, semnează un tratat cu împăratul habsburgic la 16 septembrie 1594, oferind astfel un motiv în plus lui Mihai Viteazul să decidă, cu acordul boierilor, intrarea în alianța antiotomană. </w:t>
      </w:r>
    </w:p>
    <w:p w14:paraId="1EDEF2BC" w14:textId="77777777" w:rsidR="002B3B9D" w:rsidRDefault="002B3B9D" w:rsidP="002B3B9D"/>
    <w:p w14:paraId="6A12C799" w14:textId="77777777" w:rsidR="002B3B9D" w:rsidRPr="002B3B9D" w:rsidRDefault="002B3B9D" w:rsidP="002B3B9D">
      <w:pPr>
        <w:jc w:val="right"/>
        <w:rPr>
          <w:rFonts w:ascii="Arial Narrow" w:hAnsi="Arial Narrow"/>
          <w:i/>
          <w:iCs/>
          <w:color w:val="0070C0"/>
          <w:sz w:val="28"/>
          <w:szCs w:val="24"/>
        </w:rPr>
      </w:pPr>
      <w:r w:rsidRPr="002B3B9D">
        <w:rPr>
          <w:rFonts w:ascii="Arial Narrow" w:hAnsi="Arial Narrow"/>
          <w:i/>
          <w:iCs/>
          <w:color w:val="0070C0"/>
          <w:sz w:val="28"/>
          <w:szCs w:val="24"/>
        </w:rPr>
        <w:t>Luptele împotriva Imperiului Otoman</w:t>
      </w:r>
    </w:p>
    <w:p w14:paraId="6D802659" w14:textId="77777777" w:rsidR="002B3B9D" w:rsidRPr="002B3B9D" w:rsidRDefault="002B3B9D" w:rsidP="002B3B9D">
      <w:pPr>
        <w:jc w:val="right"/>
        <w:rPr>
          <w:rFonts w:ascii="Arial Narrow" w:hAnsi="Arial Narrow"/>
          <w:i/>
          <w:iCs/>
          <w:color w:val="0070C0"/>
          <w:sz w:val="28"/>
          <w:szCs w:val="24"/>
        </w:rPr>
      </w:pPr>
    </w:p>
    <w:p w14:paraId="684C2881" w14:textId="77777777" w:rsidR="002B3B9D" w:rsidRPr="002B3B9D" w:rsidRDefault="002B3B9D" w:rsidP="002B3B9D">
      <w:pPr>
        <w:jc w:val="right"/>
        <w:rPr>
          <w:rFonts w:ascii="Arial Narrow" w:hAnsi="Arial Narrow"/>
          <w:i/>
          <w:iCs/>
          <w:color w:val="0070C0"/>
          <w:sz w:val="28"/>
          <w:szCs w:val="24"/>
        </w:rPr>
      </w:pPr>
      <w:r w:rsidRPr="002B3B9D">
        <w:rPr>
          <w:rFonts w:ascii="Arial Narrow" w:hAnsi="Arial Narrow"/>
          <w:i/>
          <w:iCs/>
          <w:color w:val="0070C0"/>
          <w:sz w:val="28"/>
          <w:szCs w:val="24"/>
        </w:rPr>
        <w:t>Aderarea Țării Românești la „Liga Sfântă” a condus la izbucnirea (13 noiembrie 1594) unei revolte antiotomane soldată cu suprimarea creditorilor levantini și a întregii garnizoane otomane staționată în București.</w:t>
      </w:r>
    </w:p>
    <w:p w14:paraId="4CBAC696" w14:textId="77777777" w:rsidR="002B3B9D" w:rsidRPr="002B3B9D" w:rsidRDefault="002B3B9D" w:rsidP="002B3B9D">
      <w:pPr>
        <w:jc w:val="right"/>
        <w:rPr>
          <w:rFonts w:ascii="Arial Narrow" w:hAnsi="Arial Narrow"/>
          <w:i/>
          <w:iCs/>
          <w:color w:val="0070C0"/>
          <w:sz w:val="28"/>
          <w:szCs w:val="24"/>
        </w:rPr>
      </w:pPr>
      <w:r w:rsidRPr="002B3B9D">
        <w:rPr>
          <w:rFonts w:ascii="Arial Narrow" w:hAnsi="Arial Narrow"/>
          <w:i/>
          <w:iCs/>
          <w:color w:val="0070C0"/>
          <w:sz w:val="28"/>
          <w:szCs w:val="24"/>
        </w:rPr>
        <w:t>Pe acest fundal cunoscut și ca Războiul cel Lung, Mihai pornește o ofensivă generală împotriva Înaltei Porți, atacând cetățile turcești de pe ambele părți ale Dunării (Giurgiu, Turnu, Hârșova, Silistra ș.a.). Urmează o serie de victorii împotriva tătarilor și turcilor (la Putineiu și pe locul numit „Padina[16] Șerpătești” de lângă satul Stănești) culminată cu incendierea Rusciucului.</w:t>
      </w:r>
    </w:p>
    <w:p w14:paraId="34614DA5" w14:textId="77777777" w:rsidR="002B3B9D" w:rsidRPr="002B3B9D" w:rsidRDefault="002B3B9D" w:rsidP="002B3B9D">
      <w:pPr>
        <w:jc w:val="right"/>
        <w:rPr>
          <w:rFonts w:ascii="Arial Narrow" w:hAnsi="Arial Narrow"/>
          <w:i/>
          <w:iCs/>
          <w:color w:val="0070C0"/>
          <w:sz w:val="28"/>
          <w:szCs w:val="24"/>
        </w:rPr>
      </w:pPr>
      <w:r w:rsidRPr="002B3B9D">
        <w:rPr>
          <w:rFonts w:ascii="Arial Narrow" w:hAnsi="Arial Narrow"/>
          <w:i/>
          <w:iCs/>
          <w:color w:val="0070C0"/>
          <w:sz w:val="28"/>
          <w:szCs w:val="24"/>
        </w:rPr>
        <w:t>După modelul victorios al lui Mihai, Aron Vodă pornește o campanie similară, în care cazacii lui Aron Vodă, uniți cu ardelenii, respingeau la vadul de la Isaccea pe Domnul adus de Turci, pentru a fi așezat în Scaunul Moldovei (Ștefan Surdul, fost Domn al Moldovei).[17]</w:t>
      </w:r>
    </w:p>
    <w:p w14:paraId="13EC9507" w14:textId="77777777" w:rsidR="002B3B9D" w:rsidRPr="002B3B9D" w:rsidRDefault="002B3B9D" w:rsidP="002B3B9D">
      <w:pPr>
        <w:jc w:val="right"/>
        <w:rPr>
          <w:rFonts w:ascii="Arial Narrow" w:hAnsi="Arial Narrow"/>
          <w:i/>
          <w:iCs/>
          <w:color w:val="0070C0"/>
          <w:sz w:val="28"/>
          <w:szCs w:val="24"/>
        </w:rPr>
      </w:pPr>
      <w:r w:rsidRPr="002B3B9D">
        <w:rPr>
          <w:rFonts w:ascii="Arial Narrow" w:hAnsi="Arial Narrow"/>
          <w:i/>
          <w:iCs/>
          <w:color w:val="0070C0"/>
          <w:sz w:val="28"/>
          <w:szCs w:val="24"/>
        </w:rPr>
        <w:t>Datorită recunoașterii ca suzeran a lui Sigismund Bathory de către Aron Vodă și succesorul său, Răzvan Ștefan, Mihai trimite o delegație de boieri la Alba Iulia pentru a reglementa diplomatic relațiile munteano-transilvănene. Delegația, compusă din 13 persoane, condusă de mitropolitul Eftimie și din care mai făceau parte episcopii Luca al Buzăului și Teofil al Râmnicului, marele vornic Mitrea, vornicul Hristea, logofeții Dimitrie, Preda și Borcea, vistiernicul Dan, postelnicul Teodor, clucerul Stamate, Radu Buzescu și Vintilă,[18] a negociat aderarea la această alianță și a semnat la Alba Iulia la 20 mai 1595 un tratat cu Bathory prin care Mihai devenea vasal al lui Sigismund. Ei și-au depășit atribuțiile inițiale, probabil din dorința de a îngrădi puterea domnului sporind-o simultan pe a lor. Cu toate acestea, Mihai a acceptat tratatul, deoarece Transilvania era singurul stat vecin ce îi putea asigura spatele în lupta împotriva turcilor.[19]</w:t>
      </w:r>
    </w:p>
    <w:p w14:paraId="761DD819" w14:textId="77777777" w:rsidR="002B3B9D" w:rsidRPr="002B3B9D" w:rsidRDefault="002B3B9D" w:rsidP="002B3B9D">
      <w:pPr>
        <w:jc w:val="right"/>
        <w:rPr>
          <w:rFonts w:ascii="Arial Narrow" w:hAnsi="Arial Narrow"/>
          <w:i/>
          <w:iCs/>
          <w:color w:val="0070C0"/>
          <w:sz w:val="28"/>
          <w:szCs w:val="24"/>
        </w:rPr>
      </w:pPr>
      <w:r w:rsidRPr="002B3B9D">
        <w:rPr>
          <w:rFonts w:ascii="Arial Narrow" w:hAnsi="Arial Narrow"/>
          <w:i/>
          <w:iCs/>
          <w:color w:val="0070C0"/>
          <w:sz w:val="28"/>
          <w:szCs w:val="24"/>
        </w:rPr>
        <w:lastRenderedPageBreak/>
        <w:t>Același tratat cu Sigismund Bathory, din 1595, prevedea ca toate bisericile românești din Ardeal să fie așezate sub jurisdicția Mitropoliei de la Târgoviște. Această prevedere implică și o evidentă tendință anticalvină, fiindcă în luna iunie a aceluiași an au fost supuse bisericile din Țara Făgărașului, autorității Mitropoliei ortodoxe de la Alba Iulia, unde a rezidat mitropolitul ortodox, hirotonisit în Țara Românească.[20]</w:t>
      </w:r>
    </w:p>
    <w:p w14:paraId="71F83DE0" w14:textId="77777777" w:rsidR="002B3B9D" w:rsidRPr="002B3B9D" w:rsidRDefault="002B3B9D" w:rsidP="002B3B9D">
      <w:pPr>
        <w:jc w:val="right"/>
        <w:rPr>
          <w:rFonts w:ascii="Arial Narrow" w:hAnsi="Arial Narrow"/>
          <w:i/>
          <w:iCs/>
          <w:color w:val="0070C0"/>
          <w:sz w:val="28"/>
          <w:szCs w:val="24"/>
        </w:rPr>
      </w:pPr>
      <w:r w:rsidRPr="002B3B9D">
        <w:rPr>
          <w:rFonts w:ascii="Arial Narrow" w:hAnsi="Arial Narrow"/>
          <w:i/>
          <w:iCs/>
          <w:color w:val="0070C0"/>
          <w:sz w:val="28"/>
          <w:szCs w:val="24"/>
        </w:rPr>
        <w:t>În încercarea de a opri înaintarea turcilor conduși de Sinan Pașa, un albanez, înlocuitorul marelui vizir Ferhad, spre București, Mihai Viteazul, la comanda unei armate de circa 16.000 de ostași, din care 6.000 erau secui conduși de Albert Király, i-a atacat pe otomani la Călugăreni în 13/23 august 1595.[21][22] Bătălia, evocată în poemul „Pașa Hassan” al poetului George Coșbuc, s-a soldat cu pierderea de către turci a unui steag, a mai multor tunuri și a circa 7000 de combatanți, insuficient însă pentru a-l opri din marșul spre București. Mihai s-a retras temporar în munți, așteptând sprijinul lui Sigismund Báthory, în timp ce turcii, în frunte cu Sinan Pașa, s-au instalat la mănăstirea Radu Vodă, iar Sinan a început să numească funcționari otomani pentru administrarea noului pașalâc, și a ridicat o întăritură improvizată[23] - „palanca” lui Sinan, o cetate ale cărei ruine se văd pe înălțimea de la mănăstirea Radu-Vodă. Turcii încep organizarea pașalâcului la București și Târgoviște, introducând garnizoane și transformând bisericile în moschei (Mihai Bărbulescu ș.a., op. cit., p. 190).</w:t>
      </w:r>
    </w:p>
    <w:p w14:paraId="5B6AB1E2" w14:textId="77777777" w:rsidR="002B3B9D" w:rsidRPr="002B3B9D" w:rsidRDefault="002B3B9D" w:rsidP="002B3B9D">
      <w:pPr>
        <w:jc w:val="right"/>
        <w:rPr>
          <w:rFonts w:ascii="Arial Narrow" w:hAnsi="Arial Narrow"/>
          <w:i/>
          <w:iCs/>
          <w:color w:val="0070C0"/>
          <w:sz w:val="28"/>
          <w:szCs w:val="24"/>
        </w:rPr>
      </w:pPr>
      <w:r w:rsidRPr="002B3B9D">
        <w:rPr>
          <w:rFonts w:ascii="Arial Narrow" w:hAnsi="Arial Narrow"/>
          <w:i/>
          <w:iCs/>
          <w:color w:val="0070C0"/>
          <w:sz w:val="28"/>
          <w:szCs w:val="24"/>
        </w:rPr>
        <w:t>Primind în munți sprijin din Moldova și, mai ales din Transilvania, Mihai Viteazul a luat comanda unei armate puternice și numeroase, care i-a îndepărtat pe otomani din Târgoviște (5–8 octombrie 1595) și apoi București (12 octombrie 1595), după care le-a provocat pierderi grele în retragerea lor disperată peste Dunăre la Giurgiu (15–20 octombrie 1595). Astfel, campania otomană, sub conducerea lui Sinan Pașa, pornită cu intenția de a transforma principatele în pașalâcuri, s-a sfârșit cu un răsunător eșec, cu ecouri în Apusul Europei.</w:t>
      </w:r>
    </w:p>
    <w:p w14:paraId="27372084" w14:textId="77777777" w:rsidR="002B3B9D" w:rsidRPr="002B3B9D" w:rsidRDefault="002B3B9D" w:rsidP="002B3B9D">
      <w:pPr>
        <w:jc w:val="right"/>
        <w:rPr>
          <w:rFonts w:ascii="Arial Narrow" w:hAnsi="Arial Narrow"/>
          <w:i/>
          <w:iCs/>
          <w:color w:val="0070C0"/>
          <w:sz w:val="28"/>
          <w:szCs w:val="24"/>
        </w:rPr>
      </w:pPr>
      <w:r w:rsidRPr="002B3B9D">
        <w:rPr>
          <w:rFonts w:ascii="Arial Narrow" w:hAnsi="Arial Narrow"/>
          <w:i/>
          <w:iCs/>
          <w:color w:val="0070C0"/>
          <w:sz w:val="28"/>
          <w:szCs w:val="24"/>
        </w:rPr>
        <w:t>Între timp, Ștefan Răzvan este înlocuit de pe tronul Moldovei cu Ieremia Movilă, domn fidel polonezilor.</w:t>
      </w:r>
    </w:p>
    <w:p w14:paraId="08E733A2" w14:textId="77777777" w:rsidR="002B3B9D" w:rsidRPr="002B3B9D" w:rsidRDefault="002B3B9D" w:rsidP="002B3B9D">
      <w:pPr>
        <w:jc w:val="right"/>
        <w:rPr>
          <w:rFonts w:ascii="Arial Narrow" w:hAnsi="Arial Narrow"/>
          <w:i/>
          <w:iCs/>
          <w:color w:val="0070C0"/>
          <w:sz w:val="28"/>
          <w:szCs w:val="24"/>
        </w:rPr>
      </w:pPr>
      <w:r w:rsidRPr="002B3B9D">
        <w:rPr>
          <w:rFonts w:ascii="Arial Narrow" w:hAnsi="Arial Narrow"/>
          <w:i/>
          <w:iCs/>
          <w:color w:val="0070C0"/>
          <w:sz w:val="28"/>
          <w:szCs w:val="24"/>
        </w:rPr>
        <w:t xml:space="preserve">În 1594 și în anii următori Mihai Viteazul a condus o campanie militară în sudul Dunării, cucerind cetățile Isaccea, Măcin, Cernavodă, Razgrad, Babadag, Târgul de Floci, Silistra și chiar Rusciuc, Șiștova, Nicopole și Vidin. Campania de hărțuire a turcilor a determinat retragerea otomană în cetățile de pe linia Dunării, situație în care valahii au atacat cetățile Giurgiu și Turnu reușind să elibereze așezările civile și să asedieze fortărețele. La 11 decembrie 1594 solii lui Mihai din Weissenburg anunțau că „oastea noastră a cucerit castelul Brăila și Turnu (Turnus) fără pagubă[…]”[24]. În ianuarie 1595 tot malul stâng al fluviului se afla sub controlul românesc. Potrivit istoricului Nicolae Iorga[25], călăreții lui Mihai Viteazul ajunseseră până la Adrianopole în est și Plevna în vest. Această acțiune a fost coroborată cu atacurile voievodului moldovean Aron Tiranul împotriva turcilor din cetățile Tighina, Chilia și Cetatea Albă, prin incursiuni efectuate în nordul Dobrogei și prin devastarea orașului Ismail.[26][27] </w:t>
      </w:r>
    </w:p>
    <w:p w14:paraId="28B492DD" w14:textId="77777777" w:rsidR="002B3B9D" w:rsidRDefault="002B3B9D" w:rsidP="002B3B9D"/>
    <w:p w14:paraId="3272E6ED" w14:textId="77777777" w:rsidR="002B3B9D" w:rsidRPr="002B3B9D" w:rsidRDefault="002B3B9D" w:rsidP="002B3B9D">
      <w:pPr>
        <w:ind w:left="1134" w:right="1410"/>
        <w:jc w:val="center"/>
        <w:rPr>
          <w:rFonts w:ascii="Bookman Old Style" w:hAnsi="Bookman Old Style"/>
          <w:color w:val="C00000"/>
          <w:u w:val="single"/>
        </w:rPr>
      </w:pPr>
      <w:r w:rsidRPr="002B3B9D">
        <w:rPr>
          <w:rFonts w:ascii="Bookman Old Style" w:hAnsi="Bookman Old Style"/>
          <w:color w:val="C00000"/>
          <w:u w:val="single"/>
        </w:rPr>
        <w:t>"Unirea" de la 1600</w:t>
      </w:r>
    </w:p>
    <w:p w14:paraId="7D11E63D" w14:textId="77777777" w:rsidR="002B3B9D" w:rsidRPr="002B3B9D" w:rsidRDefault="002B3B9D" w:rsidP="002B3B9D">
      <w:pPr>
        <w:ind w:left="1134" w:right="1410"/>
        <w:jc w:val="center"/>
        <w:rPr>
          <w:rFonts w:ascii="Bookman Old Style" w:hAnsi="Bookman Old Style"/>
          <w:color w:val="C00000"/>
          <w:u w:val="single"/>
        </w:rPr>
      </w:pPr>
    </w:p>
    <w:p w14:paraId="32BAB1B0" w14:textId="77777777" w:rsidR="002B3B9D" w:rsidRPr="002B3B9D" w:rsidRDefault="002B3B9D" w:rsidP="002B3B9D">
      <w:pPr>
        <w:ind w:left="1134" w:right="1410"/>
        <w:jc w:val="center"/>
        <w:rPr>
          <w:rFonts w:ascii="Bookman Old Style" w:hAnsi="Bookman Old Style"/>
          <w:color w:val="C00000"/>
          <w:u w:val="single"/>
        </w:rPr>
      </w:pPr>
      <w:r w:rsidRPr="002B3B9D">
        <w:rPr>
          <w:rFonts w:ascii="Bookman Old Style" w:hAnsi="Bookman Old Style"/>
          <w:color w:val="C00000"/>
          <w:u w:val="single"/>
        </w:rPr>
        <w:t>Conturarea mitului Mihai Viteazul ilustrează mai bine ca oricare alt model istoric muta</w:t>
      </w:r>
      <w:r w:rsidRPr="002B3B9D">
        <w:rPr>
          <w:rFonts w:ascii="Cambria" w:hAnsi="Cambria" w:cs="Cambria"/>
          <w:color w:val="C00000"/>
          <w:u w:val="single"/>
        </w:rPr>
        <w:t>ț</w:t>
      </w:r>
      <w:r w:rsidRPr="002B3B9D">
        <w:rPr>
          <w:rFonts w:ascii="Bookman Old Style" w:hAnsi="Bookman Old Style"/>
          <w:color w:val="C00000"/>
          <w:u w:val="single"/>
        </w:rPr>
        <w:t xml:space="preserve">iile petrecute </w:t>
      </w:r>
      <w:r w:rsidRPr="002B3B9D">
        <w:rPr>
          <w:rFonts w:ascii="Bookman Old Style" w:hAnsi="Bookman Old Style" w:cs="Bookman Old Style"/>
          <w:color w:val="C00000"/>
          <w:u w:val="single"/>
        </w:rPr>
        <w:t>î</w:t>
      </w:r>
      <w:r w:rsidRPr="002B3B9D">
        <w:rPr>
          <w:rFonts w:ascii="Bookman Old Style" w:hAnsi="Bookman Old Style"/>
          <w:color w:val="C00000"/>
          <w:u w:val="single"/>
        </w:rPr>
        <w:t>n con</w:t>
      </w:r>
      <w:r w:rsidRPr="002B3B9D">
        <w:rPr>
          <w:rFonts w:ascii="Cambria" w:hAnsi="Cambria" w:cs="Cambria"/>
          <w:color w:val="C00000"/>
          <w:u w:val="single"/>
        </w:rPr>
        <w:t>ș</w:t>
      </w:r>
      <w:r w:rsidRPr="002B3B9D">
        <w:rPr>
          <w:rFonts w:ascii="Bookman Old Style" w:hAnsi="Bookman Old Style"/>
          <w:color w:val="C00000"/>
          <w:u w:val="single"/>
        </w:rPr>
        <w:t>tiin</w:t>
      </w:r>
      <w:r w:rsidRPr="002B3B9D">
        <w:rPr>
          <w:rFonts w:ascii="Cambria" w:hAnsi="Cambria" w:cs="Cambria"/>
          <w:color w:val="C00000"/>
          <w:u w:val="single"/>
        </w:rPr>
        <w:t>ț</w:t>
      </w:r>
      <w:r w:rsidRPr="002B3B9D">
        <w:rPr>
          <w:rFonts w:ascii="Bookman Old Style" w:hAnsi="Bookman Old Style"/>
          <w:color w:val="C00000"/>
          <w:u w:val="single"/>
        </w:rPr>
        <w:t>a rom</w:t>
      </w:r>
      <w:r w:rsidRPr="002B3B9D">
        <w:rPr>
          <w:rFonts w:ascii="Bookman Old Style" w:hAnsi="Bookman Old Style" w:cs="Bookman Old Style"/>
          <w:color w:val="C00000"/>
          <w:u w:val="single"/>
        </w:rPr>
        <w:t>â</w:t>
      </w:r>
      <w:r w:rsidRPr="002B3B9D">
        <w:rPr>
          <w:rFonts w:ascii="Bookman Old Style" w:hAnsi="Bookman Old Style"/>
          <w:color w:val="C00000"/>
          <w:u w:val="single"/>
        </w:rPr>
        <w:t>neasc</w:t>
      </w:r>
      <w:r w:rsidRPr="002B3B9D">
        <w:rPr>
          <w:rFonts w:ascii="Bookman Old Style" w:hAnsi="Bookman Old Style" w:cs="Bookman Old Style"/>
          <w:color w:val="C00000"/>
          <w:u w:val="single"/>
        </w:rPr>
        <w:t>ă</w:t>
      </w:r>
      <w:r w:rsidRPr="002B3B9D">
        <w:rPr>
          <w:rFonts w:ascii="Bookman Old Style" w:hAnsi="Bookman Old Style"/>
          <w:color w:val="C00000"/>
          <w:u w:val="single"/>
        </w:rPr>
        <w:t>. Domnitorul care a reu</w:t>
      </w:r>
      <w:r w:rsidRPr="002B3B9D">
        <w:rPr>
          <w:rFonts w:ascii="Cambria" w:hAnsi="Cambria" w:cs="Cambria"/>
          <w:color w:val="C00000"/>
          <w:u w:val="single"/>
        </w:rPr>
        <w:t>ș</w:t>
      </w:r>
      <w:r w:rsidRPr="002B3B9D">
        <w:rPr>
          <w:rFonts w:ascii="Bookman Old Style" w:hAnsi="Bookman Old Style"/>
          <w:color w:val="C00000"/>
          <w:u w:val="single"/>
        </w:rPr>
        <w:t>it s</w:t>
      </w:r>
      <w:r w:rsidRPr="002B3B9D">
        <w:rPr>
          <w:rFonts w:ascii="Bookman Old Style" w:hAnsi="Bookman Old Style" w:cs="Bookman Old Style"/>
          <w:color w:val="C00000"/>
          <w:u w:val="single"/>
        </w:rPr>
        <w:t>ă</w:t>
      </w:r>
      <w:r w:rsidRPr="002B3B9D">
        <w:rPr>
          <w:rFonts w:ascii="Bookman Old Style" w:hAnsi="Bookman Old Style"/>
          <w:color w:val="C00000"/>
          <w:u w:val="single"/>
        </w:rPr>
        <w:t xml:space="preserve"> stăpânească pentru scurt timp, la 1599-1600, cele trei </w:t>
      </w:r>
      <w:r w:rsidRPr="002B3B9D">
        <w:rPr>
          <w:rFonts w:ascii="Cambria" w:hAnsi="Cambria" w:cs="Cambria"/>
          <w:color w:val="C00000"/>
          <w:u w:val="single"/>
        </w:rPr>
        <w:t>ț</w:t>
      </w:r>
      <w:r w:rsidRPr="002B3B9D">
        <w:rPr>
          <w:rFonts w:ascii="Bookman Old Style" w:hAnsi="Bookman Old Style" w:cs="Bookman Old Style"/>
          <w:color w:val="C00000"/>
          <w:u w:val="single"/>
        </w:rPr>
        <w:t>ă</w:t>
      </w:r>
      <w:r w:rsidRPr="002B3B9D">
        <w:rPr>
          <w:rFonts w:ascii="Bookman Old Style" w:hAnsi="Bookman Old Style"/>
          <w:color w:val="C00000"/>
          <w:u w:val="single"/>
        </w:rPr>
        <w:t>ri reunite, trei veacuri mai t</w:t>
      </w:r>
      <w:r w:rsidRPr="002B3B9D">
        <w:rPr>
          <w:rFonts w:ascii="Bookman Old Style" w:hAnsi="Bookman Old Style" w:cs="Bookman Old Style"/>
          <w:color w:val="C00000"/>
          <w:u w:val="single"/>
        </w:rPr>
        <w:t>â</w:t>
      </w:r>
      <w:r w:rsidRPr="002B3B9D">
        <w:rPr>
          <w:rFonts w:ascii="Bookman Old Style" w:hAnsi="Bookman Old Style"/>
          <w:color w:val="C00000"/>
          <w:u w:val="single"/>
        </w:rPr>
        <w:t xml:space="preserve">rziu, </w:t>
      </w:r>
      <w:r w:rsidRPr="002B3B9D">
        <w:rPr>
          <w:rFonts w:ascii="Bookman Old Style" w:hAnsi="Bookman Old Style" w:cs="Bookman Old Style"/>
          <w:color w:val="C00000"/>
          <w:u w:val="single"/>
        </w:rPr>
        <w:t>î</w:t>
      </w:r>
      <w:r w:rsidRPr="002B3B9D">
        <w:rPr>
          <w:rFonts w:ascii="Bookman Old Style" w:hAnsi="Bookman Old Style"/>
          <w:color w:val="C00000"/>
          <w:u w:val="single"/>
        </w:rPr>
        <w:t>n Rom</w:t>
      </w:r>
      <w:r w:rsidRPr="002B3B9D">
        <w:rPr>
          <w:rFonts w:ascii="Bookman Old Style" w:hAnsi="Bookman Old Style" w:cs="Bookman Old Style"/>
          <w:color w:val="C00000"/>
          <w:u w:val="single"/>
        </w:rPr>
        <w:t>â</w:t>
      </w:r>
      <w:r w:rsidRPr="002B3B9D">
        <w:rPr>
          <w:rFonts w:ascii="Bookman Old Style" w:hAnsi="Bookman Old Style"/>
          <w:color w:val="C00000"/>
          <w:u w:val="single"/>
        </w:rPr>
        <w:t>nia modern</w:t>
      </w:r>
      <w:r w:rsidRPr="002B3B9D">
        <w:rPr>
          <w:rFonts w:ascii="Bookman Old Style" w:hAnsi="Bookman Old Style" w:cs="Bookman Old Style"/>
          <w:color w:val="C00000"/>
          <w:u w:val="single"/>
        </w:rPr>
        <w:t>ă</w:t>
      </w:r>
      <w:r w:rsidRPr="002B3B9D">
        <w:rPr>
          <w:rFonts w:ascii="Bookman Old Style" w:hAnsi="Bookman Old Style"/>
          <w:color w:val="C00000"/>
          <w:u w:val="single"/>
        </w:rPr>
        <w:t xml:space="preserve">, </w:t>
      </w:r>
      <w:r w:rsidRPr="002B3B9D">
        <w:rPr>
          <w:rFonts w:ascii="Bookman Old Style" w:hAnsi="Bookman Old Style" w:cs="Bookman Old Style"/>
          <w:color w:val="C00000"/>
          <w:u w:val="single"/>
        </w:rPr>
        <w:t>î</w:t>
      </w:r>
      <w:r w:rsidRPr="002B3B9D">
        <w:rPr>
          <w:rFonts w:ascii="Bookman Old Style" w:hAnsi="Bookman Old Style"/>
          <w:color w:val="C00000"/>
          <w:u w:val="single"/>
        </w:rPr>
        <w:t>ncepe a fi receptat ca unificator abia spre mijlocul secolului al XIX-lea. O asemenea interpretare lipse</w:t>
      </w:r>
      <w:r w:rsidRPr="002B3B9D">
        <w:rPr>
          <w:rFonts w:ascii="Cambria" w:hAnsi="Cambria" w:cs="Cambria"/>
          <w:color w:val="C00000"/>
          <w:u w:val="single"/>
        </w:rPr>
        <w:t>ș</w:t>
      </w:r>
      <w:r w:rsidRPr="002B3B9D">
        <w:rPr>
          <w:rFonts w:ascii="Bookman Old Style" w:hAnsi="Bookman Old Style"/>
          <w:color w:val="C00000"/>
          <w:u w:val="single"/>
        </w:rPr>
        <w:t>te cu des</w:t>
      </w:r>
      <w:r w:rsidRPr="002B3B9D">
        <w:rPr>
          <w:rFonts w:ascii="Bookman Old Style" w:hAnsi="Bookman Old Style" w:cs="Bookman Old Style"/>
          <w:color w:val="C00000"/>
          <w:u w:val="single"/>
        </w:rPr>
        <w:t>ă</w:t>
      </w:r>
      <w:r w:rsidRPr="002B3B9D">
        <w:rPr>
          <w:rFonts w:ascii="Bookman Old Style" w:hAnsi="Bookman Old Style"/>
          <w:color w:val="C00000"/>
          <w:u w:val="single"/>
        </w:rPr>
        <w:t>v</w:t>
      </w:r>
      <w:r w:rsidRPr="002B3B9D">
        <w:rPr>
          <w:rFonts w:ascii="Bookman Old Style" w:hAnsi="Bookman Old Style" w:cs="Bookman Old Style"/>
          <w:color w:val="C00000"/>
          <w:u w:val="single"/>
        </w:rPr>
        <w:t>â</w:t>
      </w:r>
      <w:r w:rsidRPr="002B3B9D">
        <w:rPr>
          <w:rFonts w:ascii="Bookman Old Style" w:hAnsi="Bookman Old Style"/>
          <w:color w:val="C00000"/>
          <w:u w:val="single"/>
        </w:rPr>
        <w:t>r</w:t>
      </w:r>
      <w:r w:rsidRPr="002B3B9D">
        <w:rPr>
          <w:rFonts w:ascii="Cambria" w:hAnsi="Cambria" w:cs="Cambria"/>
          <w:color w:val="C00000"/>
          <w:u w:val="single"/>
        </w:rPr>
        <w:t>ș</w:t>
      </w:r>
      <w:r w:rsidRPr="002B3B9D">
        <w:rPr>
          <w:rFonts w:ascii="Bookman Old Style" w:hAnsi="Bookman Old Style"/>
          <w:color w:val="C00000"/>
          <w:u w:val="single"/>
        </w:rPr>
        <w:t xml:space="preserve">ire </w:t>
      </w:r>
      <w:r w:rsidRPr="002B3B9D">
        <w:rPr>
          <w:rFonts w:ascii="Bookman Old Style" w:hAnsi="Bookman Old Style" w:cs="Bookman Old Style"/>
          <w:color w:val="C00000"/>
          <w:u w:val="single"/>
        </w:rPr>
        <w:t>î</w:t>
      </w:r>
      <w:r w:rsidRPr="002B3B9D">
        <w:rPr>
          <w:rFonts w:ascii="Bookman Old Style" w:hAnsi="Bookman Old Style"/>
          <w:color w:val="C00000"/>
          <w:u w:val="single"/>
        </w:rPr>
        <w:t xml:space="preserve">n istoriografia cronicărească a veacului al XVII-lea </w:t>
      </w:r>
      <w:r w:rsidRPr="002B3B9D">
        <w:rPr>
          <w:rFonts w:ascii="Cambria" w:hAnsi="Cambria" w:cs="Cambria"/>
          <w:color w:val="C00000"/>
          <w:u w:val="single"/>
        </w:rPr>
        <w:t>ș</w:t>
      </w:r>
      <w:r w:rsidRPr="002B3B9D">
        <w:rPr>
          <w:rFonts w:ascii="Bookman Old Style" w:hAnsi="Bookman Old Style"/>
          <w:color w:val="C00000"/>
          <w:u w:val="single"/>
        </w:rPr>
        <w:t>i chiar mai t</w:t>
      </w:r>
      <w:r w:rsidRPr="002B3B9D">
        <w:rPr>
          <w:rFonts w:ascii="Bookman Old Style" w:hAnsi="Bookman Old Style" w:cs="Bookman Old Style"/>
          <w:color w:val="C00000"/>
          <w:u w:val="single"/>
        </w:rPr>
        <w:t>â</w:t>
      </w:r>
      <w:r w:rsidRPr="002B3B9D">
        <w:rPr>
          <w:rFonts w:ascii="Bookman Old Style" w:hAnsi="Bookman Old Style"/>
          <w:color w:val="C00000"/>
          <w:u w:val="single"/>
        </w:rPr>
        <w:t xml:space="preserve">rziu, spre 1800, la </w:t>
      </w:r>
      <w:r w:rsidRPr="002B3B9D">
        <w:rPr>
          <w:rFonts w:ascii="Cambria" w:hAnsi="Cambria" w:cs="Cambria"/>
          <w:color w:val="C00000"/>
          <w:u w:val="single"/>
        </w:rPr>
        <w:t>Ș</w:t>
      </w:r>
      <w:r w:rsidRPr="002B3B9D">
        <w:rPr>
          <w:rFonts w:ascii="Bookman Old Style" w:hAnsi="Bookman Old Style"/>
          <w:color w:val="C00000"/>
          <w:u w:val="single"/>
        </w:rPr>
        <w:t>coala Ardelean</w:t>
      </w:r>
      <w:r w:rsidRPr="002B3B9D">
        <w:rPr>
          <w:rFonts w:ascii="Bookman Old Style" w:hAnsi="Bookman Old Style" w:cs="Bookman Old Style"/>
          <w:color w:val="C00000"/>
          <w:u w:val="single"/>
        </w:rPr>
        <w:t>ă</w:t>
      </w:r>
      <w:r w:rsidRPr="002B3B9D">
        <w:rPr>
          <w:rFonts w:ascii="Bookman Old Style" w:hAnsi="Bookman Old Style"/>
          <w:color w:val="C00000"/>
          <w:u w:val="single"/>
        </w:rPr>
        <w:t>".[29]</w:t>
      </w:r>
    </w:p>
    <w:p w14:paraId="3F3F8CC5" w14:textId="77777777" w:rsidR="002B3B9D" w:rsidRPr="002B3B9D" w:rsidRDefault="002B3B9D" w:rsidP="002B3B9D">
      <w:pPr>
        <w:ind w:left="1134" w:right="1410"/>
        <w:jc w:val="center"/>
        <w:rPr>
          <w:rFonts w:ascii="Bookman Old Style" w:hAnsi="Bookman Old Style"/>
          <w:color w:val="C00000"/>
          <w:u w:val="single"/>
        </w:rPr>
      </w:pPr>
      <w:r w:rsidRPr="002B3B9D">
        <w:rPr>
          <w:rFonts w:ascii="Bookman Old Style" w:hAnsi="Bookman Old Style"/>
          <w:color w:val="C00000"/>
          <w:u w:val="single"/>
        </w:rPr>
        <w:t>Realitatea istorică este mult mai nuan</w:t>
      </w:r>
      <w:r w:rsidRPr="002B3B9D">
        <w:rPr>
          <w:rFonts w:ascii="Cambria" w:hAnsi="Cambria" w:cs="Cambria"/>
          <w:color w:val="C00000"/>
          <w:u w:val="single"/>
        </w:rPr>
        <w:t>ț</w:t>
      </w:r>
      <w:r w:rsidRPr="002B3B9D">
        <w:rPr>
          <w:rFonts w:ascii="Bookman Old Style" w:hAnsi="Bookman Old Style"/>
          <w:color w:val="C00000"/>
          <w:u w:val="single"/>
        </w:rPr>
        <w:t>at</w:t>
      </w:r>
      <w:r w:rsidRPr="002B3B9D">
        <w:rPr>
          <w:rFonts w:ascii="Bookman Old Style" w:hAnsi="Bookman Old Style" w:cs="Bookman Old Style"/>
          <w:color w:val="C00000"/>
          <w:u w:val="single"/>
        </w:rPr>
        <w:t>ă</w:t>
      </w:r>
      <w:r w:rsidRPr="002B3B9D">
        <w:rPr>
          <w:rFonts w:ascii="Bookman Old Style" w:hAnsi="Bookman Old Style"/>
          <w:color w:val="C00000"/>
          <w:u w:val="single"/>
        </w:rPr>
        <w:t xml:space="preserve"> dec</w:t>
      </w:r>
      <w:r w:rsidRPr="002B3B9D">
        <w:rPr>
          <w:rFonts w:ascii="Bookman Old Style" w:hAnsi="Bookman Old Style" w:cs="Bookman Old Style"/>
          <w:color w:val="C00000"/>
          <w:u w:val="single"/>
        </w:rPr>
        <w:t>â</w:t>
      </w:r>
      <w:r w:rsidRPr="002B3B9D">
        <w:rPr>
          <w:rFonts w:ascii="Bookman Old Style" w:hAnsi="Bookman Old Style"/>
          <w:color w:val="C00000"/>
          <w:u w:val="single"/>
        </w:rPr>
        <w:t>t cea cunoscut</w:t>
      </w:r>
      <w:r w:rsidRPr="002B3B9D">
        <w:rPr>
          <w:rFonts w:ascii="Bookman Old Style" w:hAnsi="Bookman Old Style" w:cs="Bookman Old Style"/>
          <w:color w:val="C00000"/>
          <w:u w:val="single"/>
        </w:rPr>
        <w:t>ă</w:t>
      </w:r>
      <w:r w:rsidRPr="002B3B9D">
        <w:rPr>
          <w:rFonts w:ascii="Bookman Old Style" w:hAnsi="Bookman Old Style"/>
          <w:color w:val="C00000"/>
          <w:u w:val="single"/>
        </w:rPr>
        <w:t xml:space="preserve"> de publicul larg. Pe scurt, Mihai Viteazul ar putea fi caracterizat </w:t>
      </w:r>
      <w:r w:rsidRPr="002B3B9D">
        <w:rPr>
          <w:rFonts w:ascii="Bookman Old Style" w:hAnsi="Bookman Old Style" w:cs="Bookman Old Style"/>
          <w:color w:val="C00000"/>
          <w:u w:val="single"/>
        </w:rPr>
        <w:t>î</w:t>
      </w:r>
      <w:r w:rsidRPr="002B3B9D">
        <w:rPr>
          <w:rFonts w:ascii="Bookman Old Style" w:hAnsi="Bookman Old Style"/>
          <w:color w:val="C00000"/>
          <w:u w:val="single"/>
        </w:rPr>
        <w:t xml:space="preserve">n felul </w:t>
      </w:r>
      <w:r w:rsidRPr="002B3B9D">
        <w:rPr>
          <w:rFonts w:ascii="Bookman Old Style" w:hAnsi="Bookman Old Style"/>
          <w:color w:val="C00000"/>
          <w:u w:val="single"/>
        </w:rPr>
        <w:lastRenderedPageBreak/>
        <w:t>urm</w:t>
      </w:r>
      <w:r w:rsidRPr="002B3B9D">
        <w:rPr>
          <w:rFonts w:ascii="Bookman Old Style" w:hAnsi="Bookman Old Style" w:cs="Bookman Old Style"/>
          <w:color w:val="C00000"/>
          <w:u w:val="single"/>
        </w:rPr>
        <w:t>ă</w:t>
      </w:r>
      <w:r w:rsidRPr="002B3B9D">
        <w:rPr>
          <w:rFonts w:ascii="Bookman Old Style" w:hAnsi="Bookman Old Style"/>
          <w:color w:val="C00000"/>
          <w:u w:val="single"/>
        </w:rPr>
        <w:t>tor (a se re</w:t>
      </w:r>
      <w:r w:rsidRPr="002B3B9D">
        <w:rPr>
          <w:rFonts w:ascii="Cambria" w:hAnsi="Cambria" w:cs="Cambria"/>
          <w:color w:val="C00000"/>
          <w:u w:val="single"/>
        </w:rPr>
        <w:t>ț</w:t>
      </w:r>
      <w:r w:rsidRPr="002B3B9D">
        <w:rPr>
          <w:rFonts w:ascii="Bookman Old Style" w:hAnsi="Bookman Old Style"/>
          <w:color w:val="C00000"/>
          <w:u w:val="single"/>
        </w:rPr>
        <w:t xml:space="preserve">ine că nu a purtat titlul de "Domn" decât în </w:t>
      </w:r>
      <w:r w:rsidRPr="002B3B9D">
        <w:rPr>
          <w:rFonts w:ascii="Cambria" w:hAnsi="Cambria" w:cs="Cambria"/>
          <w:color w:val="C00000"/>
          <w:u w:val="single"/>
        </w:rPr>
        <w:t>Ț</w:t>
      </w:r>
      <w:r w:rsidRPr="002B3B9D">
        <w:rPr>
          <w:rFonts w:ascii="Bookman Old Style" w:hAnsi="Bookman Old Style"/>
          <w:color w:val="C00000"/>
          <w:u w:val="single"/>
        </w:rPr>
        <w:t>ara Rom</w:t>
      </w:r>
      <w:r w:rsidRPr="002B3B9D">
        <w:rPr>
          <w:rFonts w:ascii="Bookman Old Style" w:hAnsi="Bookman Old Style" w:cs="Bookman Old Style"/>
          <w:color w:val="C00000"/>
          <w:u w:val="single"/>
        </w:rPr>
        <w:t>â</w:t>
      </w:r>
      <w:r w:rsidRPr="002B3B9D">
        <w:rPr>
          <w:rFonts w:ascii="Bookman Old Style" w:hAnsi="Bookman Old Style"/>
          <w:color w:val="C00000"/>
          <w:u w:val="single"/>
        </w:rPr>
        <w:t>neasc</w:t>
      </w:r>
      <w:r w:rsidRPr="002B3B9D">
        <w:rPr>
          <w:rFonts w:ascii="Bookman Old Style" w:hAnsi="Bookman Old Style" w:cs="Bookman Old Style"/>
          <w:color w:val="C00000"/>
          <w:u w:val="single"/>
        </w:rPr>
        <w:t>ă</w:t>
      </w:r>
      <w:r w:rsidRPr="002B3B9D">
        <w:rPr>
          <w:rFonts w:ascii="Bookman Old Style" w:hAnsi="Bookman Old Style"/>
          <w:color w:val="C00000"/>
          <w:u w:val="single"/>
        </w:rPr>
        <w:t xml:space="preserve">): 1593-1599 este Domn al </w:t>
      </w:r>
      <w:r w:rsidRPr="002B3B9D">
        <w:rPr>
          <w:rFonts w:ascii="Cambria" w:hAnsi="Cambria" w:cs="Cambria"/>
          <w:color w:val="C00000"/>
          <w:u w:val="single"/>
        </w:rPr>
        <w:t>Ț</w:t>
      </w:r>
      <w:r w:rsidRPr="002B3B9D">
        <w:rPr>
          <w:rFonts w:ascii="Bookman Old Style" w:hAnsi="Bookman Old Style" w:cs="Bookman Old Style"/>
          <w:color w:val="C00000"/>
          <w:u w:val="single"/>
        </w:rPr>
        <w:t>ă</w:t>
      </w:r>
      <w:r w:rsidRPr="002B3B9D">
        <w:rPr>
          <w:rFonts w:ascii="Bookman Old Style" w:hAnsi="Bookman Old Style"/>
          <w:color w:val="C00000"/>
          <w:u w:val="single"/>
        </w:rPr>
        <w:t>rii Rom</w:t>
      </w:r>
      <w:r w:rsidRPr="002B3B9D">
        <w:rPr>
          <w:rFonts w:ascii="Bookman Old Style" w:hAnsi="Bookman Old Style" w:cs="Bookman Old Style"/>
          <w:color w:val="C00000"/>
          <w:u w:val="single"/>
        </w:rPr>
        <w:t>â</w:t>
      </w:r>
      <w:r w:rsidRPr="002B3B9D">
        <w:rPr>
          <w:rFonts w:ascii="Bookman Old Style" w:hAnsi="Bookman Old Style"/>
          <w:color w:val="C00000"/>
          <w:u w:val="single"/>
        </w:rPr>
        <w:t>ne</w:t>
      </w:r>
      <w:r w:rsidRPr="002B3B9D">
        <w:rPr>
          <w:rFonts w:ascii="Cambria" w:hAnsi="Cambria" w:cs="Cambria"/>
          <w:color w:val="C00000"/>
          <w:u w:val="single"/>
        </w:rPr>
        <w:t>ș</w:t>
      </w:r>
      <w:r w:rsidRPr="002B3B9D">
        <w:rPr>
          <w:rFonts w:ascii="Bookman Old Style" w:hAnsi="Bookman Old Style"/>
          <w:color w:val="C00000"/>
          <w:u w:val="single"/>
        </w:rPr>
        <w:t xml:space="preserve">ti; intre octombrie 1599 </w:t>
      </w:r>
      <w:r w:rsidRPr="002B3B9D">
        <w:rPr>
          <w:rFonts w:ascii="Cambria" w:hAnsi="Cambria" w:cs="Cambria"/>
          <w:color w:val="C00000"/>
          <w:u w:val="single"/>
        </w:rPr>
        <w:t>ș</w:t>
      </w:r>
      <w:r w:rsidRPr="002B3B9D">
        <w:rPr>
          <w:rFonts w:ascii="Bookman Old Style" w:hAnsi="Bookman Old Style"/>
          <w:color w:val="C00000"/>
          <w:u w:val="single"/>
        </w:rPr>
        <w:t>i iunie 1600 a fost St</w:t>
      </w:r>
      <w:r w:rsidRPr="002B3B9D">
        <w:rPr>
          <w:rFonts w:ascii="Bookman Old Style" w:hAnsi="Bookman Old Style" w:cs="Bookman Old Style"/>
          <w:color w:val="C00000"/>
          <w:u w:val="single"/>
        </w:rPr>
        <w:t>ă</w:t>
      </w:r>
      <w:r w:rsidRPr="002B3B9D">
        <w:rPr>
          <w:rFonts w:ascii="Bookman Old Style" w:hAnsi="Bookman Old Style"/>
          <w:color w:val="C00000"/>
          <w:u w:val="single"/>
        </w:rPr>
        <w:t>p</w:t>
      </w:r>
      <w:r w:rsidRPr="002B3B9D">
        <w:rPr>
          <w:rFonts w:ascii="Bookman Old Style" w:hAnsi="Bookman Old Style" w:cs="Bookman Old Style"/>
          <w:color w:val="C00000"/>
          <w:u w:val="single"/>
        </w:rPr>
        <w:t>â</w:t>
      </w:r>
      <w:r w:rsidRPr="002B3B9D">
        <w:rPr>
          <w:rFonts w:ascii="Bookman Old Style" w:hAnsi="Bookman Old Style"/>
          <w:color w:val="C00000"/>
          <w:u w:val="single"/>
        </w:rPr>
        <w:t xml:space="preserve">nitor al </w:t>
      </w:r>
      <w:r w:rsidRPr="002B3B9D">
        <w:rPr>
          <w:rFonts w:ascii="Cambria" w:hAnsi="Cambria" w:cs="Cambria"/>
          <w:color w:val="C00000"/>
          <w:u w:val="single"/>
        </w:rPr>
        <w:t>Ț</w:t>
      </w:r>
      <w:r w:rsidRPr="002B3B9D">
        <w:rPr>
          <w:rFonts w:ascii="Bookman Old Style" w:hAnsi="Bookman Old Style" w:cs="Bookman Old Style"/>
          <w:color w:val="C00000"/>
          <w:u w:val="single"/>
        </w:rPr>
        <w:t>ă</w:t>
      </w:r>
      <w:r w:rsidRPr="002B3B9D">
        <w:rPr>
          <w:rFonts w:ascii="Bookman Old Style" w:hAnsi="Bookman Old Style"/>
          <w:color w:val="C00000"/>
          <w:u w:val="single"/>
        </w:rPr>
        <w:t>rii Rom</w:t>
      </w:r>
      <w:r w:rsidRPr="002B3B9D">
        <w:rPr>
          <w:rFonts w:ascii="Bookman Old Style" w:hAnsi="Bookman Old Style" w:cs="Bookman Old Style"/>
          <w:color w:val="C00000"/>
          <w:u w:val="single"/>
        </w:rPr>
        <w:t>â</w:t>
      </w:r>
      <w:r w:rsidRPr="002B3B9D">
        <w:rPr>
          <w:rFonts w:ascii="Bookman Old Style" w:hAnsi="Bookman Old Style"/>
          <w:color w:val="C00000"/>
          <w:u w:val="single"/>
        </w:rPr>
        <w:t>ne</w:t>
      </w:r>
      <w:r w:rsidRPr="002B3B9D">
        <w:rPr>
          <w:rFonts w:ascii="Cambria" w:hAnsi="Cambria" w:cs="Cambria"/>
          <w:color w:val="C00000"/>
          <w:u w:val="single"/>
        </w:rPr>
        <w:t>ș</w:t>
      </w:r>
      <w:r w:rsidRPr="002B3B9D">
        <w:rPr>
          <w:rFonts w:ascii="Bookman Old Style" w:hAnsi="Bookman Old Style"/>
          <w:color w:val="C00000"/>
          <w:u w:val="single"/>
        </w:rPr>
        <w:t xml:space="preserve">ti </w:t>
      </w:r>
      <w:r w:rsidRPr="002B3B9D">
        <w:rPr>
          <w:rFonts w:ascii="Cambria" w:hAnsi="Cambria" w:cs="Cambria"/>
          <w:color w:val="C00000"/>
          <w:u w:val="single"/>
        </w:rPr>
        <w:t>ș</w:t>
      </w:r>
      <w:r w:rsidRPr="002B3B9D">
        <w:rPr>
          <w:rFonts w:ascii="Bookman Old Style" w:hAnsi="Bookman Old Style"/>
          <w:color w:val="C00000"/>
          <w:u w:val="single"/>
        </w:rPr>
        <w:t>i al Ardealului; in perioada iunie 1600 - septembrie 1600 a fost St</w:t>
      </w:r>
      <w:r w:rsidRPr="002B3B9D">
        <w:rPr>
          <w:rFonts w:ascii="Bookman Old Style" w:hAnsi="Bookman Old Style" w:cs="Bookman Old Style"/>
          <w:color w:val="C00000"/>
          <w:u w:val="single"/>
        </w:rPr>
        <w:t>ă</w:t>
      </w:r>
      <w:r w:rsidRPr="002B3B9D">
        <w:rPr>
          <w:rFonts w:ascii="Bookman Old Style" w:hAnsi="Bookman Old Style"/>
          <w:color w:val="C00000"/>
          <w:u w:val="single"/>
        </w:rPr>
        <w:t>p</w:t>
      </w:r>
      <w:r w:rsidRPr="002B3B9D">
        <w:rPr>
          <w:rFonts w:ascii="Bookman Old Style" w:hAnsi="Bookman Old Style" w:cs="Bookman Old Style"/>
          <w:color w:val="C00000"/>
          <w:u w:val="single"/>
        </w:rPr>
        <w:t>â</w:t>
      </w:r>
      <w:r w:rsidRPr="002B3B9D">
        <w:rPr>
          <w:rFonts w:ascii="Bookman Old Style" w:hAnsi="Bookman Old Style"/>
          <w:color w:val="C00000"/>
          <w:u w:val="single"/>
        </w:rPr>
        <w:t xml:space="preserve">nitor al </w:t>
      </w:r>
      <w:r w:rsidRPr="002B3B9D">
        <w:rPr>
          <w:rFonts w:ascii="Cambria" w:hAnsi="Cambria" w:cs="Cambria"/>
          <w:color w:val="C00000"/>
          <w:u w:val="single"/>
        </w:rPr>
        <w:t>Ț</w:t>
      </w:r>
      <w:r w:rsidRPr="002B3B9D">
        <w:rPr>
          <w:rFonts w:ascii="Bookman Old Style" w:hAnsi="Bookman Old Style" w:cs="Bookman Old Style"/>
          <w:color w:val="C00000"/>
          <w:u w:val="single"/>
        </w:rPr>
        <w:t>ă</w:t>
      </w:r>
      <w:r w:rsidRPr="002B3B9D">
        <w:rPr>
          <w:rFonts w:ascii="Bookman Old Style" w:hAnsi="Bookman Old Style"/>
          <w:color w:val="C00000"/>
          <w:u w:val="single"/>
        </w:rPr>
        <w:t>rii Române</w:t>
      </w:r>
      <w:r w:rsidRPr="002B3B9D">
        <w:rPr>
          <w:rFonts w:ascii="Cambria" w:hAnsi="Cambria" w:cs="Cambria"/>
          <w:color w:val="C00000"/>
          <w:u w:val="single"/>
        </w:rPr>
        <w:t>ș</w:t>
      </w:r>
      <w:r w:rsidRPr="002B3B9D">
        <w:rPr>
          <w:rFonts w:ascii="Bookman Old Style" w:hAnsi="Bookman Old Style"/>
          <w:color w:val="C00000"/>
          <w:u w:val="single"/>
        </w:rPr>
        <w:t xml:space="preserve">ti, al Ardealului </w:t>
      </w:r>
      <w:r w:rsidRPr="002B3B9D">
        <w:rPr>
          <w:rFonts w:ascii="Cambria" w:hAnsi="Cambria" w:cs="Cambria"/>
          <w:color w:val="C00000"/>
          <w:u w:val="single"/>
        </w:rPr>
        <w:t>ș</w:t>
      </w:r>
      <w:r w:rsidRPr="002B3B9D">
        <w:rPr>
          <w:rFonts w:ascii="Bookman Old Style" w:hAnsi="Bookman Old Style"/>
          <w:color w:val="C00000"/>
          <w:u w:val="single"/>
        </w:rPr>
        <w:t xml:space="preserve">i Moldovei, adunate </w:t>
      </w:r>
      <w:r w:rsidRPr="002B3B9D">
        <w:rPr>
          <w:rFonts w:ascii="Bookman Old Style" w:hAnsi="Bookman Old Style" w:cs="Bookman Old Style"/>
          <w:color w:val="C00000"/>
          <w:u w:val="single"/>
        </w:rPr>
        <w:t>î</w:t>
      </w:r>
      <w:r w:rsidRPr="002B3B9D">
        <w:rPr>
          <w:rFonts w:ascii="Bookman Old Style" w:hAnsi="Bookman Old Style"/>
          <w:color w:val="C00000"/>
          <w:u w:val="single"/>
        </w:rPr>
        <w:t>mpreun</w:t>
      </w:r>
      <w:r w:rsidRPr="002B3B9D">
        <w:rPr>
          <w:rFonts w:ascii="Bookman Old Style" w:hAnsi="Bookman Old Style" w:cs="Bookman Old Style"/>
          <w:color w:val="C00000"/>
          <w:u w:val="single"/>
        </w:rPr>
        <w:t>ă</w:t>
      </w:r>
      <w:r w:rsidRPr="002B3B9D">
        <w:rPr>
          <w:rFonts w:ascii="Bookman Old Style" w:hAnsi="Bookman Old Style"/>
          <w:color w:val="C00000"/>
          <w:u w:val="single"/>
        </w:rPr>
        <w:t xml:space="preserve"> sub "unirea personal</w:t>
      </w:r>
      <w:r w:rsidRPr="002B3B9D">
        <w:rPr>
          <w:rFonts w:ascii="Bookman Old Style" w:hAnsi="Bookman Old Style" w:cs="Bookman Old Style"/>
          <w:color w:val="C00000"/>
          <w:u w:val="single"/>
        </w:rPr>
        <w:t>ă</w:t>
      </w:r>
      <w:r w:rsidRPr="002B3B9D">
        <w:rPr>
          <w:rFonts w:ascii="Bookman Old Style" w:hAnsi="Bookman Old Style"/>
          <w:color w:val="C00000"/>
          <w:u w:val="single"/>
        </w:rPr>
        <w:t xml:space="preserve">" a lui Mihai; </w:t>
      </w:r>
      <w:r w:rsidRPr="002B3B9D">
        <w:rPr>
          <w:rFonts w:ascii="Bookman Old Style" w:hAnsi="Bookman Old Style" w:cs="Bookman Old Style"/>
          <w:color w:val="C00000"/>
          <w:u w:val="single"/>
        </w:rPr>
        <w:t>î</w:t>
      </w:r>
      <w:r w:rsidRPr="002B3B9D">
        <w:rPr>
          <w:rFonts w:ascii="Bookman Old Style" w:hAnsi="Bookman Old Style"/>
          <w:color w:val="C00000"/>
          <w:u w:val="single"/>
        </w:rPr>
        <w:t xml:space="preserve">n cazul Moldovei </w:t>
      </w:r>
      <w:r w:rsidRPr="002B3B9D">
        <w:rPr>
          <w:rFonts w:ascii="Bookman Old Style" w:hAnsi="Bookman Old Style" w:cs="Bookman Old Style"/>
          <w:color w:val="C00000"/>
          <w:u w:val="single"/>
        </w:rPr>
        <w:t>î</w:t>
      </w:r>
      <w:r w:rsidRPr="002B3B9D">
        <w:rPr>
          <w:rFonts w:ascii="Bookman Old Style" w:hAnsi="Bookman Old Style"/>
          <w:color w:val="C00000"/>
          <w:u w:val="single"/>
        </w:rPr>
        <w:t xml:space="preserve">l </w:t>
      </w:r>
      <w:r w:rsidRPr="002B3B9D">
        <w:rPr>
          <w:rFonts w:ascii="Bookman Old Style" w:hAnsi="Bookman Old Style" w:cs="Bookman Old Style"/>
          <w:color w:val="C00000"/>
          <w:u w:val="single"/>
        </w:rPr>
        <w:t>î</w:t>
      </w:r>
      <w:r w:rsidRPr="002B3B9D">
        <w:rPr>
          <w:rFonts w:ascii="Bookman Old Style" w:hAnsi="Bookman Old Style"/>
          <w:color w:val="C00000"/>
          <w:u w:val="single"/>
        </w:rPr>
        <w:t>nsc</w:t>
      </w:r>
      <w:r w:rsidRPr="002B3B9D">
        <w:rPr>
          <w:rFonts w:ascii="Bookman Old Style" w:hAnsi="Bookman Old Style" w:cs="Bookman Old Style"/>
          <w:color w:val="C00000"/>
          <w:u w:val="single"/>
        </w:rPr>
        <w:t>ă</w:t>
      </w:r>
      <w:r w:rsidRPr="002B3B9D">
        <w:rPr>
          <w:rFonts w:ascii="Bookman Old Style" w:hAnsi="Bookman Old Style"/>
          <w:color w:val="C00000"/>
          <w:u w:val="single"/>
        </w:rPr>
        <w:t>uneaz</w:t>
      </w:r>
      <w:r w:rsidRPr="002B3B9D">
        <w:rPr>
          <w:rFonts w:ascii="Bookman Old Style" w:hAnsi="Bookman Old Style" w:cs="Bookman Old Style"/>
          <w:color w:val="C00000"/>
          <w:u w:val="single"/>
        </w:rPr>
        <w:t>ă</w:t>
      </w:r>
      <w:r w:rsidRPr="002B3B9D">
        <w:rPr>
          <w:rFonts w:ascii="Bookman Old Style" w:hAnsi="Bookman Old Style"/>
          <w:color w:val="C00000"/>
          <w:u w:val="single"/>
        </w:rPr>
        <w:t xml:space="preserve"> de fapt pe fiul s</w:t>
      </w:r>
      <w:r w:rsidRPr="002B3B9D">
        <w:rPr>
          <w:rFonts w:ascii="Bookman Old Style" w:hAnsi="Bookman Old Style" w:cs="Bookman Old Style"/>
          <w:color w:val="C00000"/>
          <w:u w:val="single"/>
        </w:rPr>
        <w:t>ă</w:t>
      </w:r>
      <w:r w:rsidRPr="002B3B9D">
        <w:rPr>
          <w:rFonts w:ascii="Bookman Old Style" w:hAnsi="Bookman Old Style"/>
          <w:color w:val="C00000"/>
          <w:u w:val="single"/>
        </w:rPr>
        <w:t xml:space="preserve">u; intre septembrie 1600 - noiembrie 1600 a fost Domn al </w:t>
      </w:r>
      <w:r w:rsidRPr="002B3B9D">
        <w:rPr>
          <w:rFonts w:ascii="Cambria" w:hAnsi="Cambria" w:cs="Cambria"/>
          <w:color w:val="C00000"/>
          <w:u w:val="single"/>
        </w:rPr>
        <w:t>Ț</w:t>
      </w:r>
      <w:r w:rsidRPr="002B3B9D">
        <w:rPr>
          <w:rFonts w:ascii="Bookman Old Style" w:hAnsi="Bookman Old Style" w:cs="Bookman Old Style"/>
          <w:color w:val="C00000"/>
          <w:u w:val="single"/>
        </w:rPr>
        <w:t>ă</w:t>
      </w:r>
      <w:r w:rsidRPr="002B3B9D">
        <w:rPr>
          <w:rFonts w:ascii="Bookman Old Style" w:hAnsi="Bookman Old Style"/>
          <w:color w:val="C00000"/>
          <w:u w:val="single"/>
        </w:rPr>
        <w:t>rii Rom</w:t>
      </w:r>
      <w:r w:rsidRPr="002B3B9D">
        <w:rPr>
          <w:rFonts w:ascii="Bookman Old Style" w:hAnsi="Bookman Old Style" w:cs="Bookman Old Style"/>
          <w:color w:val="C00000"/>
          <w:u w:val="single"/>
        </w:rPr>
        <w:t>â</w:t>
      </w:r>
      <w:r w:rsidRPr="002B3B9D">
        <w:rPr>
          <w:rFonts w:ascii="Bookman Old Style" w:hAnsi="Bookman Old Style"/>
          <w:color w:val="C00000"/>
          <w:u w:val="single"/>
        </w:rPr>
        <w:t>ne</w:t>
      </w:r>
      <w:r w:rsidRPr="002B3B9D">
        <w:rPr>
          <w:rFonts w:ascii="Cambria" w:hAnsi="Cambria" w:cs="Cambria"/>
          <w:color w:val="C00000"/>
          <w:u w:val="single"/>
        </w:rPr>
        <w:t>ș</w:t>
      </w:r>
      <w:r w:rsidRPr="002B3B9D">
        <w:rPr>
          <w:rFonts w:ascii="Bookman Old Style" w:hAnsi="Bookman Old Style"/>
          <w:color w:val="C00000"/>
          <w:u w:val="single"/>
        </w:rPr>
        <w:t>ti; intre februarie 1601- august 1601 a fost comandant militar în slujba Imperiului Habsburgic.</w:t>
      </w:r>
    </w:p>
    <w:p w14:paraId="0408479F" w14:textId="7AE16485" w:rsidR="002B3B9D" w:rsidRPr="002B3B9D" w:rsidRDefault="002B3B9D" w:rsidP="002B3B9D">
      <w:pPr>
        <w:ind w:left="1134" w:right="1410"/>
        <w:jc w:val="center"/>
        <w:rPr>
          <w:rFonts w:ascii="Bookman Old Style" w:hAnsi="Bookman Old Style"/>
          <w:color w:val="C00000"/>
          <w:u w:val="single"/>
        </w:rPr>
      </w:pPr>
      <w:r w:rsidRPr="002B3B9D">
        <w:rPr>
          <w:rFonts w:ascii="Bookman Old Style" w:hAnsi="Bookman Old Style"/>
          <w:color w:val="C00000"/>
          <w:u w:val="single"/>
        </w:rPr>
        <w:t>De</w:t>
      </w:r>
      <w:r w:rsidRPr="002B3B9D">
        <w:rPr>
          <w:rFonts w:ascii="Cambria" w:hAnsi="Cambria" w:cs="Cambria"/>
          <w:color w:val="C00000"/>
          <w:u w:val="single"/>
        </w:rPr>
        <w:t>ș</w:t>
      </w:r>
      <w:r w:rsidRPr="002B3B9D">
        <w:rPr>
          <w:rFonts w:ascii="Bookman Old Style" w:hAnsi="Bookman Old Style"/>
          <w:color w:val="C00000"/>
          <w:u w:val="single"/>
        </w:rPr>
        <w:t>i istoria asociat</w:t>
      </w:r>
      <w:r w:rsidRPr="002B3B9D">
        <w:rPr>
          <w:rFonts w:ascii="Bookman Old Style" w:hAnsi="Bookman Old Style" w:cs="Bookman Old Style"/>
          <w:color w:val="C00000"/>
          <w:u w:val="single"/>
        </w:rPr>
        <w:t>ă</w:t>
      </w:r>
      <w:r w:rsidRPr="002B3B9D">
        <w:rPr>
          <w:rFonts w:ascii="Bookman Old Style" w:hAnsi="Bookman Old Style"/>
          <w:color w:val="C00000"/>
          <w:u w:val="single"/>
        </w:rPr>
        <w:t xml:space="preserve"> cu Mihai Viteazul este cunoscut</w:t>
      </w:r>
      <w:r w:rsidRPr="002B3B9D">
        <w:rPr>
          <w:rFonts w:ascii="Bookman Old Style" w:hAnsi="Bookman Old Style" w:cs="Bookman Old Style"/>
          <w:color w:val="C00000"/>
          <w:u w:val="single"/>
        </w:rPr>
        <w:t>ă</w:t>
      </w:r>
      <w:r w:rsidRPr="002B3B9D">
        <w:rPr>
          <w:rFonts w:ascii="Bookman Old Style" w:hAnsi="Bookman Old Style"/>
          <w:color w:val="C00000"/>
          <w:u w:val="single"/>
        </w:rPr>
        <w:t xml:space="preserve"> publicului larg drept "unire", termenul este dus prea departe. </w:t>
      </w:r>
      <w:r w:rsidRPr="002B3B9D">
        <w:rPr>
          <w:rFonts w:ascii="Bookman Old Style" w:hAnsi="Bookman Old Style" w:cs="Bookman Old Style"/>
          <w:color w:val="C00000"/>
          <w:u w:val="single"/>
        </w:rPr>
        <w:t>Î</w:t>
      </w:r>
      <w:r w:rsidRPr="002B3B9D">
        <w:rPr>
          <w:rFonts w:ascii="Bookman Old Style" w:hAnsi="Bookman Old Style"/>
          <w:color w:val="C00000"/>
          <w:u w:val="single"/>
        </w:rPr>
        <w:t xml:space="preserve">n realitate, toate cele trei </w:t>
      </w:r>
      <w:r w:rsidRPr="002B3B9D">
        <w:rPr>
          <w:rFonts w:ascii="Cambria" w:hAnsi="Cambria" w:cs="Cambria"/>
          <w:color w:val="C00000"/>
          <w:u w:val="single"/>
        </w:rPr>
        <w:t>ț</w:t>
      </w:r>
      <w:r w:rsidRPr="002B3B9D">
        <w:rPr>
          <w:rFonts w:ascii="Bookman Old Style" w:hAnsi="Bookman Old Style" w:cs="Bookman Old Style"/>
          <w:color w:val="C00000"/>
          <w:u w:val="single"/>
        </w:rPr>
        <w:t>ă</w:t>
      </w:r>
      <w:r w:rsidRPr="002B3B9D">
        <w:rPr>
          <w:rFonts w:ascii="Bookman Old Style" w:hAnsi="Bookman Old Style"/>
          <w:color w:val="C00000"/>
          <w:u w:val="single"/>
        </w:rPr>
        <w:t xml:space="preserve">ri </w:t>
      </w:r>
      <w:r w:rsidRPr="002B3B9D">
        <w:rPr>
          <w:rFonts w:ascii="Bookman Old Style" w:hAnsi="Bookman Old Style" w:cs="Bookman Old Style"/>
          <w:color w:val="C00000"/>
          <w:u w:val="single"/>
        </w:rPr>
        <w:t>î</w:t>
      </w:r>
      <w:r w:rsidRPr="002B3B9D">
        <w:rPr>
          <w:rFonts w:ascii="Cambria" w:hAnsi="Cambria" w:cs="Cambria"/>
          <w:color w:val="C00000"/>
          <w:u w:val="single"/>
        </w:rPr>
        <w:t>ș</w:t>
      </w:r>
      <w:r w:rsidRPr="002B3B9D">
        <w:rPr>
          <w:rFonts w:ascii="Bookman Old Style" w:hAnsi="Bookman Old Style"/>
          <w:color w:val="C00000"/>
          <w:u w:val="single"/>
        </w:rPr>
        <w:t>i p</w:t>
      </w:r>
      <w:r w:rsidRPr="002B3B9D">
        <w:rPr>
          <w:rFonts w:ascii="Bookman Old Style" w:hAnsi="Bookman Old Style" w:cs="Bookman Old Style"/>
          <w:color w:val="C00000"/>
          <w:u w:val="single"/>
        </w:rPr>
        <w:t>ă</w:t>
      </w:r>
      <w:r w:rsidRPr="002B3B9D">
        <w:rPr>
          <w:rFonts w:ascii="Bookman Old Style" w:hAnsi="Bookman Old Style"/>
          <w:color w:val="C00000"/>
          <w:u w:val="single"/>
        </w:rPr>
        <w:t>streaz</w:t>
      </w:r>
      <w:r w:rsidRPr="002B3B9D">
        <w:rPr>
          <w:rFonts w:ascii="Bookman Old Style" w:hAnsi="Bookman Old Style" w:cs="Bookman Old Style"/>
          <w:color w:val="C00000"/>
          <w:u w:val="single"/>
        </w:rPr>
        <w:t>ă</w:t>
      </w:r>
      <w:r w:rsidRPr="002B3B9D">
        <w:rPr>
          <w:rFonts w:ascii="Bookman Old Style" w:hAnsi="Bookman Old Style"/>
          <w:color w:val="C00000"/>
          <w:u w:val="single"/>
        </w:rPr>
        <w:t xml:space="preserve"> institu</w:t>
      </w:r>
      <w:r w:rsidRPr="002B3B9D">
        <w:rPr>
          <w:rFonts w:ascii="Cambria" w:hAnsi="Cambria" w:cs="Cambria"/>
          <w:color w:val="C00000"/>
          <w:u w:val="single"/>
        </w:rPr>
        <w:t>ț</w:t>
      </w:r>
      <w:r w:rsidRPr="002B3B9D">
        <w:rPr>
          <w:rFonts w:ascii="Bookman Old Style" w:hAnsi="Bookman Old Style"/>
          <w:color w:val="C00000"/>
          <w:u w:val="single"/>
        </w:rPr>
        <w:t xml:space="preserve">iile de conducere de dinainte - Dieta (Transilvania) </w:t>
      </w:r>
      <w:r w:rsidRPr="002B3B9D">
        <w:rPr>
          <w:rFonts w:ascii="Cambria" w:hAnsi="Cambria" w:cs="Cambria"/>
          <w:color w:val="C00000"/>
          <w:u w:val="single"/>
        </w:rPr>
        <w:t>ș</w:t>
      </w:r>
      <w:r w:rsidRPr="002B3B9D">
        <w:rPr>
          <w:rFonts w:ascii="Bookman Old Style" w:hAnsi="Bookman Old Style"/>
          <w:color w:val="C00000"/>
          <w:u w:val="single"/>
        </w:rPr>
        <w:t>i sfaturile boiere</w:t>
      </w:r>
      <w:r w:rsidRPr="002B3B9D">
        <w:rPr>
          <w:rFonts w:ascii="Cambria" w:hAnsi="Cambria" w:cs="Cambria"/>
          <w:color w:val="C00000"/>
          <w:u w:val="single"/>
        </w:rPr>
        <w:t>ș</w:t>
      </w:r>
      <w:r w:rsidRPr="002B3B9D">
        <w:rPr>
          <w:rFonts w:ascii="Bookman Old Style" w:hAnsi="Bookman Old Style"/>
          <w:color w:val="C00000"/>
          <w:u w:val="single"/>
        </w:rPr>
        <w:t xml:space="preserve">ti </w:t>
      </w:r>
      <w:r w:rsidRPr="002B3B9D">
        <w:rPr>
          <w:rFonts w:ascii="Bookman Old Style" w:hAnsi="Bookman Old Style" w:cs="Bookman Old Style"/>
          <w:color w:val="C00000"/>
          <w:u w:val="single"/>
        </w:rPr>
        <w:t>î</w:t>
      </w:r>
      <w:r w:rsidRPr="002B3B9D">
        <w:rPr>
          <w:rFonts w:ascii="Bookman Old Style" w:hAnsi="Bookman Old Style"/>
          <w:color w:val="C00000"/>
          <w:u w:val="single"/>
        </w:rPr>
        <w:t xml:space="preserve">n </w:t>
      </w:r>
      <w:r w:rsidRPr="002B3B9D">
        <w:rPr>
          <w:rFonts w:ascii="Cambria" w:hAnsi="Cambria" w:cs="Cambria"/>
          <w:color w:val="C00000"/>
          <w:u w:val="single"/>
        </w:rPr>
        <w:t>ț</w:t>
      </w:r>
      <w:r w:rsidRPr="002B3B9D">
        <w:rPr>
          <w:rFonts w:ascii="Bookman Old Style" w:hAnsi="Bookman Old Style" w:cs="Bookman Old Style"/>
          <w:color w:val="C00000"/>
          <w:u w:val="single"/>
        </w:rPr>
        <w:t>ă</w:t>
      </w:r>
      <w:r w:rsidRPr="002B3B9D">
        <w:rPr>
          <w:rFonts w:ascii="Bookman Old Style" w:hAnsi="Bookman Old Style"/>
          <w:color w:val="C00000"/>
          <w:u w:val="single"/>
        </w:rPr>
        <w:t xml:space="preserve">rile extracarpatice, </w:t>
      </w:r>
      <w:r w:rsidRPr="002B3B9D">
        <w:rPr>
          <w:rFonts w:ascii="Bookman Old Style" w:hAnsi="Bookman Old Style" w:cs="Bookman Old Style"/>
          <w:color w:val="C00000"/>
          <w:u w:val="single"/>
        </w:rPr>
        <w:t>î</w:t>
      </w:r>
      <w:r w:rsidRPr="002B3B9D">
        <w:rPr>
          <w:rFonts w:ascii="Cambria" w:hAnsi="Cambria" w:cs="Cambria"/>
          <w:color w:val="C00000"/>
          <w:u w:val="single"/>
        </w:rPr>
        <w:t>ș</w:t>
      </w:r>
      <w:r w:rsidRPr="002B3B9D">
        <w:rPr>
          <w:rFonts w:ascii="Bookman Old Style" w:hAnsi="Bookman Old Style"/>
          <w:color w:val="C00000"/>
          <w:u w:val="single"/>
        </w:rPr>
        <w:t>i p</w:t>
      </w:r>
      <w:r w:rsidRPr="002B3B9D">
        <w:rPr>
          <w:rFonts w:ascii="Bookman Old Style" w:hAnsi="Bookman Old Style" w:cs="Bookman Old Style"/>
          <w:color w:val="C00000"/>
          <w:u w:val="single"/>
        </w:rPr>
        <w:t>ă</w:t>
      </w:r>
      <w:r w:rsidRPr="002B3B9D">
        <w:rPr>
          <w:rFonts w:ascii="Bookman Old Style" w:hAnsi="Bookman Old Style"/>
          <w:color w:val="C00000"/>
          <w:u w:val="single"/>
        </w:rPr>
        <w:t>streaz</w:t>
      </w:r>
      <w:r w:rsidRPr="002B3B9D">
        <w:rPr>
          <w:rFonts w:ascii="Bookman Old Style" w:hAnsi="Bookman Old Style" w:cs="Bookman Old Style"/>
          <w:color w:val="C00000"/>
          <w:u w:val="single"/>
        </w:rPr>
        <w:t>ă</w:t>
      </w:r>
      <w:r w:rsidRPr="002B3B9D">
        <w:rPr>
          <w:rFonts w:ascii="Bookman Old Style" w:hAnsi="Bookman Old Style"/>
          <w:color w:val="C00000"/>
          <w:u w:val="single"/>
        </w:rPr>
        <w:t xml:space="preserve"> legile, cutumele </w:t>
      </w:r>
      <w:r w:rsidRPr="002B3B9D">
        <w:rPr>
          <w:rFonts w:ascii="Cambria" w:hAnsi="Cambria" w:cs="Cambria"/>
          <w:color w:val="C00000"/>
          <w:u w:val="single"/>
        </w:rPr>
        <w:t>ș</w:t>
      </w:r>
      <w:r w:rsidRPr="002B3B9D">
        <w:rPr>
          <w:rFonts w:ascii="Bookman Old Style" w:hAnsi="Bookman Old Style"/>
          <w:color w:val="C00000"/>
          <w:u w:val="single"/>
        </w:rPr>
        <w:t>i procedurile fiec</w:t>
      </w:r>
      <w:r w:rsidRPr="002B3B9D">
        <w:rPr>
          <w:rFonts w:ascii="Bookman Old Style" w:hAnsi="Bookman Old Style" w:cs="Bookman Old Style"/>
          <w:color w:val="C00000"/>
          <w:u w:val="single"/>
        </w:rPr>
        <w:t>ă</w:t>
      </w:r>
      <w:r w:rsidRPr="002B3B9D">
        <w:rPr>
          <w:rFonts w:ascii="Bookman Old Style" w:hAnsi="Bookman Old Style"/>
          <w:color w:val="C00000"/>
          <w:u w:val="single"/>
        </w:rPr>
        <w:t xml:space="preserve">reia </w:t>
      </w:r>
      <w:r w:rsidRPr="002B3B9D">
        <w:rPr>
          <w:rFonts w:ascii="Bookman Old Style" w:hAnsi="Bookman Old Style" w:cs="Bookman Old Style"/>
          <w:color w:val="C00000"/>
          <w:u w:val="single"/>
        </w:rPr>
        <w:t>î</w:t>
      </w:r>
      <w:r w:rsidRPr="002B3B9D">
        <w:rPr>
          <w:rFonts w:ascii="Bookman Old Style" w:hAnsi="Bookman Old Style"/>
          <w:color w:val="C00000"/>
          <w:u w:val="single"/>
        </w:rPr>
        <w:t>n vigoare. Mihai nu "unific</w:t>
      </w:r>
      <w:r w:rsidRPr="002B3B9D">
        <w:rPr>
          <w:rFonts w:ascii="Bookman Old Style" w:hAnsi="Bookman Old Style" w:cs="Bookman Old Style"/>
          <w:color w:val="C00000"/>
          <w:u w:val="single"/>
        </w:rPr>
        <w:t>ă</w:t>
      </w:r>
      <w:r w:rsidRPr="002B3B9D">
        <w:rPr>
          <w:rFonts w:ascii="Bookman Old Style" w:hAnsi="Bookman Old Style"/>
          <w:color w:val="C00000"/>
          <w:u w:val="single"/>
        </w:rPr>
        <w:t>" nici armatele.</w:t>
      </w:r>
    </w:p>
    <w:p w14:paraId="4CB0615F" w14:textId="77777777" w:rsidR="002B3B9D" w:rsidRDefault="002B3B9D" w:rsidP="002B3B9D"/>
    <w:p w14:paraId="259465B6" w14:textId="77777777" w:rsidR="002B3B9D" w:rsidRPr="002B3B9D" w:rsidRDefault="002B3B9D" w:rsidP="002B3B9D">
      <w:pPr>
        <w:spacing w:line="480" w:lineRule="auto"/>
        <w:rPr>
          <w:sz w:val="28"/>
          <w:szCs w:val="24"/>
        </w:rPr>
      </w:pPr>
      <w:r w:rsidRPr="002B3B9D">
        <w:rPr>
          <w:sz w:val="28"/>
          <w:szCs w:val="24"/>
        </w:rPr>
        <w:t>Moartea lui Mihai Viteazul</w:t>
      </w:r>
    </w:p>
    <w:p w14:paraId="490EB5AF" w14:textId="77777777" w:rsidR="002B3B9D" w:rsidRPr="002B3B9D" w:rsidRDefault="002B3B9D" w:rsidP="002B3B9D">
      <w:pPr>
        <w:spacing w:line="480" w:lineRule="auto"/>
        <w:rPr>
          <w:sz w:val="28"/>
          <w:szCs w:val="24"/>
        </w:rPr>
      </w:pPr>
    </w:p>
    <w:p w14:paraId="545CC7C0" w14:textId="77777777" w:rsidR="002B3B9D" w:rsidRPr="002B3B9D" w:rsidRDefault="002B3B9D" w:rsidP="002B3B9D">
      <w:pPr>
        <w:spacing w:line="480" w:lineRule="auto"/>
        <w:rPr>
          <w:sz w:val="28"/>
          <w:szCs w:val="24"/>
        </w:rPr>
      </w:pPr>
      <w:r w:rsidRPr="002B3B9D">
        <w:rPr>
          <w:sz w:val="28"/>
          <w:szCs w:val="24"/>
        </w:rPr>
        <w:t>Forțat să ia calea pribegiei, Mihai se îndreaptă spre Praga pentru a solicita ajutor de la împăratul Rudolf al II-lea. Călătoria a fost lungă și anevoioasă (voievodul și însoțitorii săi fiind atacați de mai multe ori, mai ales în Transilvania), trecând prin Deva, Lipova, Oradea, Debrețin, Tokaj, Pojon și Viena.[39] A ajuns la Viena, împreună cu cei 40 de însoțitori care îi mai rămăseseră, la 2 ianuarie 1601, unde a fost primit de arhiducele Matthias (viitorul împărat Matia I), care i-a înlesnit primirea la Curtea Imperială de la Praga.[40] Mihai Viteazul a ajuns la Praga pe 23 februarie 1601, fiind primit în audiență la împărat pe 14 martie.[41]</w:t>
      </w:r>
    </w:p>
    <w:p w14:paraId="0667EE0A" w14:textId="77777777" w:rsidR="002B3B9D" w:rsidRPr="002B3B9D" w:rsidRDefault="002B3B9D" w:rsidP="002B3B9D">
      <w:pPr>
        <w:spacing w:line="480" w:lineRule="auto"/>
        <w:rPr>
          <w:sz w:val="28"/>
          <w:szCs w:val="24"/>
        </w:rPr>
      </w:pPr>
      <w:r w:rsidRPr="002B3B9D">
        <w:rPr>
          <w:sz w:val="28"/>
          <w:szCs w:val="24"/>
        </w:rPr>
        <w:t>Mihai cere sprijinul împăratului Rudolf al II-lea, care, în contextul reînscăunării lui Sigismund Bathory pe tronul Transilvaniei, acceptă să-l susțină pe voievodul român.</w:t>
      </w:r>
    </w:p>
    <w:p w14:paraId="5C23AE94" w14:textId="77777777" w:rsidR="002B3B9D" w:rsidRPr="002B3B9D" w:rsidRDefault="002B3B9D" w:rsidP="002B3B9D">
      <w:pPr>
        <w:spacing w:line="480" w:lineRule="auto"/>
        <w:rPr>
          <w:sz w:val="28"/>
          <w:szCs w:val="24"/>
        </w:rPr>
      </w:pPr>
      <w:r w:rsidRPr="002B3B9D">
        <w:rPr>
          <w:sz w:val="28"/>
          <w:szCs w:val="24"/>
        </w:rPr>
        <w:t xml:space="preserve">Împreună cu generalul Basta, Mihai pornește campania de recucerire a teritoriilor românești. Prin victoria de la Guruslău (3 august 1601), voievodul român îl îndepărtează pe Sigismund Báthory din Transilvania. Continuă prin a recupera Țara Românească gonindu-l pe Simion Movilă de pe tron. În aceste condiții, se întrezăreau perspectivele unei noi uniri românești, </w:t>
      </w:r>
      <w:r w:rsidRPr="002B3B9D">
        <w:rPr>
          <w:sz w:val="28"/>
          <w:szCs w:val="24"/>
        </w:rPr>
        <w:lastRenderedPageBreak/>
        <w:t>perspectivă ce nu convenea împăratului habsburgic, Rudolf al II-lea. Se pune la cale înlăturarea fizică a domnitorului român, și la 9/19 august 1601[1][2], la 3 km sud de Turda[42], Mihai Viteazul este ucis de un detașament de mercenari în frunte cu ofițerul valon Iacob (Jacques) de Beauri, trimis de generalul Giorgio Basta.[43] Uciderea lui Mihai este astfel relatată de Dionisie Fotino[37]: „Între Basta și Mihai s-a rădicat o gelozie care a ajuns la dușmănie. Basta, după ce a pârât pe Mihai că avea înțelegeri secrete cu turcii, a hotărât ca să-l și aresteze; deci trimițând să-l poftească la consiliu și Mihai nevoind a veni, a poruncit la câțiva nemți ca să înconjoare cortul său, și să-l prinză viu sau să-l omoare. Mihai Vodă văzându-se astfel surprins a scos sabia și a rănit pe unul din sbirii lui Basta, dar un altul străpungându-l cu sulița în pântece, l-a trântit la pământ și i-a tăiat capul. Această ucidere infamă a lui Mihai Vodă nu fu aprobată de nimene la curtea împăratului Rodolf”. Trupul lui Mihai a fost aruncat apoi în câmpia Cristișului, pentru ca ostașii săi să vadă că a pierit căpitanul lor.[44] Pe mormântul lui Mihai Viteazul din Turda s-a construit un obelisc, închinat lui Mihai.</w:t>
      </w:r>
    </w:p>
    <w:p w14:paraId="5FED3F67" w14:textId="77777777" w:rsidR="002B3B9D" w:rsidRPr="002B3B9D" w:rsidRDefault="002B3B9D" w:rsidP="002B3B9D">
      <w:pPr>
        <w:spacing w:line="480" w:lineRule="auto"/>
        <w:rPr>
          <w:sz w:val="28"/>
          <w:szCs w:val="24"/>
        </w:rPr>
      </w:pPr>
      <w:r w:rsidRPr="002B3B9D">
        <w:rPr>
          <w:sz w:val="28"/>
          <w:szCs w:val="24"/>
        </w:rPr>
        <w:t>Capul său este luat de Turturea paharnicul, unul dintre căpitanii voievodului,[45] adus în Țara Românească și înmormântat de Radu Buzescu la Mănăstirea Dealu, lângă osemintele părintelui său, Pătrașcu-Vodă.</w:t>
      </w:r>
    </w:p>
    <w:p w14:paraId="2BA631E1" w14:textId="77777777" w:rsidR="002B3B9D" w:rsidRPr="002B3B9D" w:rsidRDefault="002B3B9D" w:rsidP="002B3B9D">
      <w:pPr>
        <w:spacing w:line="480" w:lineRule="auto"/>
        <w:rPr>
          <w:sz w:val="28"/>
          <w:szCs w:val="24"/>
        </w:rPr>
      </w:pPr>
      <w:r w:rsidRPr="002B3B9D">
        <w:rPr>
          <w:sz w:val="28"/>
          <w:szCs w:val="24"/>
        </w:rPr>
        <w:t>Pe lespedea sa de piatră de la Mănăstirea Dealu este scris: „Aici zace cinstitul și răposatul capu al creștinului Mihail, Marele Voievod, ce a fost domn al Țării Românești și Ardealului și Moldovei”.</w:t>
      </w:r>
    </w:p>
    <w:p w14:paraId="21D447F3" w14:textId="77777777" w:rsidR="002B3B9D" w:rsidRPr="002B3B9D" w:rsidRDefault="002B3B9D" w:rsidP="002B3B9D">
      <w:pPr>
        <w:spacing w:line="480" w:lineRule="auto"/>
        <w:rPr>
          <w:sz w:val="28"/>
          <w:szCs w:val="24"/>
        </w:rPr>
      </w:pPr>
      <w:r w:rsidRPr="002B3B9D">
        <w:rPr>
          <w:sz w:val="28"/>
          <w:szCs w:val="24"/>
        </w:rPr>
        <w:t xml:space="preserve">Miron Costin a scris în cronica sa următorul comentariu, după ce a relatat uciderea lui Mihai: „Și așea s-au plătitu lui Mihai Vodă slujbele ce-au făcutu nemților”.[46] Abia generația </w:t>
      </w:r>
      <w:r w:rsidRPr="002B3B9D">
        <w:rPr>
          <w:sz w:val="28"/>
          <w:szCs w:val="24"/>
        </w:rPr>
        <w:lastRenderedPageBreak/>
        <w:t xml:space="preserve">pașoptistă, angajată în lupta pentru crearea statului național român, îl va recunoaște pe Mihai Viteazul ca pe un ilustru predecesor.[46] </w:t>
      </w:r>
    </w:p>
    <w:sectPr w:rsidR="002B3B9D" w:rsidRPr="002B3B9D" w:rsidSect="002B3B9D">
      <w:pgSz w:w="12240" w:h="15840" w:code="1"/>
      <w:pgMar w:top="624" w:right="510" w:bottom="737" w:left="964" w:header="454" w:footer="45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04"/>
    <w:rsid w:val="002B3B9D"/>
    <w:rsid w:val="00784FBB"/>
    <w:rsid w:val="00850034"/>
    <w:rsid w:val="00E4410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A2F7A"/>
  <w15:chartTrackingRefBased/>
  <w15:docId w15:val="{7DC8E4DD-D835-433F-B205-0E3EDFA97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inorBidi"/>
        <w:sz w:val="24"/>
        <w:szCs w:val="22"/>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itlu3">
    <w:name w:val="heading 3"/>
    <w:basedOn w:val="Normal"/>
    <w:link w:val="Titlu3Caracter"/>
    <w:uiPriority w:val="9"/>
    <w:qFormat/>
    <w:rsid w:val="00E44104"/>
    <w:pPr>
      <w:spacing w:before="100" w:beforeAutospacing="1" w:after="100" w:afterAutospacing="1"/>
      <w:outlineLvl w:val="2"/>
    </w:pPr>
    <w:rPr>
      <w:rFonts w:ascii="Times New Roman" w:eastAsia="Times New Roman" w:hAnsi="Times New Roman" w:cs="Times New Roman"/>
      <w:b/>
      <w:bCs/>
      <w:noProof w:val="0"/>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uiPriority w:val="9"/>
    <w:rsid w:val="00E44104"/>
    <w:rPr>
      <w:rFonts w:ascii="Times New Roman" w:eastAsia="Times New Roman" w:hAnsi="Times New Roman" w:cs="Times New Roman"/>
      <w:b/>
      <w:bCs/>
      <w:sz w:val="27"/>
      <w:szCs w:val="27"/>
      <w:lang w:eastAsia="ro-RO"/>
    </w:rPr>
  </w:style>
  <w:style w:type="character" w:customStyle="1" w:styleId="mw-headline">
    <w:name w:val="mw-headline"/>
    <w:basedOn w:val="Fontdeparagrafimplicit"/>
    <w:rsid w:val="00E44104"/>
  </w:style>
  <w:style w:type="character" w:styleId="Hyperlink">
    <w:name w:val="Hyperlink"/>
    <w:basedOn w:val="Fontdeparagrafimplicit"/>
    <w:uiPriority w:val="99"/>
    <w:semiHidden/>
    <w:unhideWhenUsed/>
    <w:rsid w:val="00E44104"/>
    <w:rPr>
      <w:color w:val="0000FF"/>
      <w:u w:val="single"/>
    </w:rPr>
  </w:style>
  <w:style w:type="paragraph" w:styleId="NormalWeb">
    <w:name w:val="Normal (Web)"/>
    <w:basedOn w:val="Normal"/>
    <w:uiPriority w:val="99"/>
    <w:semiHidden/>
    <w:unhideWhenUsed/>
    <w:rsid w:val="00E44104"/>
    <w:pPr>
      <w:spacing w:before="100" w:beforeAutospacing="1" w:after="100" w:afterAutospacing="1"/>
    </w:pPr>
    <w:rPr>
      <w:rFonts w:ascii="Times New Roman" w:eastAsia="Times New Roman" w:hAnsi="Times New Roman" w:cs="Times New Roman"/>
      <w:noProof w:val="0"/>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306251">
      <w:bodyDiv w:val="1"/>
      <w:marLeft w:val="0"/>
      <w:marRight w:val="0"/>
      <w:marTop w:val="0"/>
      <w:marBottom w:val="0"/>
      <w:divBdr>
        <w:top w:val="none" w:sz="0" w:space="0" w:color="auto"/>
        <w:left w:val="none" w:sz="0" w:space="0" w:color="auto"/>
        <w:bottom w:val="none" w:sz="0" w:space="0" w:color="auto"/>
        <w:right w:val="none" w:sz="0" w:space="0" w:color="auto"/>
      </w:divBdr>
      <w:divsChild>
        <w:div w:id="1390836354">
          <w:marLeft w:val="0"/>
          <w:marRight w:val="0"/>
          <w:marTop w:val="0"/>
          <w:marBottom w:val="0"/>
          <w:divBdr>
            <w:top w:val="none" w:sz="0" w:space="0" w:color="auto"/>
            <w:left w:val="none" w:sz="0" w:space="0" w:color="auto"/>
            <w:bottom w:val="none" w:sz="0" w:space="0" w:color="auto"/>
            <w:right w:val="none" w:sz="0" w:space="0" w:color="auto"/>
          </w:divBdr>
          <w:divsChild>
            <w:div w:id="1776167074">
              <w:marLeft w:val="0"/>
              <w:marRight w:val="0"/>
              <w:marTop w:val="0"/>
              <w:marBottom w:val="0"/>
              <w:divBdr>
                <w:top w:val="none" w:sz="0" w:space="0" w:color="auto"/>
                <w:left w:val="none" w:sz="0" w:space="0" w:color="auto"/>
                <w:bottom w:val="none" w:sz="0" w:space="0" w:color="auto"/>
                <w:right w:val="none" w:sz="0" w:space="0" w:color="auto"/>
              </w:divBdr>
            </w:div>
          </w:divsChild>
        </w:div>
        <w:div w:id="988823367">
          <w:marLeft w:val="0"/>
          <w:marRight w:val="0"/>
          <w:marTop w:val="0"/>
          <w:marBottom w:val="0"/>
          <w:divBdr>
            <w:top w:val="none" w:sz="0" w:space="0" w:color="auto"/>
            <w:left w:val="none" w:sz="0" w:space="0" w:color="auto"/>
            <w:bottom w:val="none" w:sz="0" w:space="0" w:color="auto"/>
            <w:right w:val="none" w:sz="0" w:space="0" w:color="auto"/>
          </w:divBdr>
          <w:divsChild>
            <w:div w:id="997462062">
              <w:marLeft w:val="0"/>
              <w:marRight w:val="0"/>
              <w:marTop w:val="0"/>
              <w:marBottom w:val="0"/>
              <w:divBdr>
                <w:top w:val="none" w:sz="0" w:space="0" w:color="auto"/>
                <w:left w:val="none" w:sz="0" w:space="0" w:color="auto"/>
                <w:bottom w:val="none" w:sz="0" w:space="0" w:color="auto"/>
                <w:right w:val="none" w:sz="0" w:space="0" w:color="auto"/>
              </w:divBdr>
              <w:divsChild>
                <w:div w:id="176804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86814">
          <w:marLeft w:val="0"/>
          <w:marRight w:val="0"/>
          <w:marTop w:val="0"/>
          <w:marBottom w:val="0"/>
          <w:divBdr>
            <w:top w:val="none" w:sz="0" w:space="0" w:color="auto"/>
            <w:left w:val="none" w:sz="0" w:space="0" w:color="auto"/>
            <w:bottom w:val="none" w:sz="0" w:space="0" w:color="auto"/>
            <w:right w:val="none" w:sz="0" w:space="0" w:color="auto"/>
          </w:divBdr>
          <w:divsChild>
            <w:div w:id="601495410">
              <w:marLeft w:val="0"/>
              <w:marRight w:val="0"/>
              <w:marTop w:val="0"/>
              <w:marBottom w:val="0"/>
              <w:divBdr>
                <w:top w:val="none" w:sz="0" w:space="0" w:color="auto"/>
                <w:left w:val="none" w:sz="0" w:space="0" w:color="auto"/>
                <w:bottom w:val="none" w:sz="0" w:space="0" w:color="auto"/>
                <w:right w:val="none" w:sz="0" w:space="0" w:color="auto"/>
              </w:divBdr>
            </w:div>
          </w:divsChild>
        </w:div>
        <w:div w:id="1755513499">
          <w:marLeft w:val="0"/>
          <w:marRight w:val="0"/>
          <w:marTop w:val="0"/>
          <w:marBottom w:val="0"/>
          <w:divBdr>
            <w:top w:val="none" w:sz="0" w:space="0" w:color="auto"/>
            <w:left w:val="none" w:sz="0" w:space="0" w:color="auto"/>
            <w:bottom w:val="none" w:sz="0" w:space="0" w:color="auto"/>
            <w:right w:val="none" w:sz="0" w:space="0" w:color="auto"/>
          </w:divBdr>
          <w:divsChild>
            <w:div w:id="1077049372">
              <w:marLeft w:val="0"/>
              <w:marRight w:val="0"/>
              <w:marTop w:val="0"/>
              <w:marBottom w:val="0"/>
              <w:divBdr>
                <w:top w:val="none" w:sz="0" w:space="0" w:color="auto"/>
                <w:left w:val="none" w:sz="0" w:space="0" w:color="auto"/>
                <w:bottom w:val="none" w:sz="0" w:space="0" w:color="auto"/>
                <w:right w:val="none" w:sz="0" w:space="0" w:color="auto"/>
              </w:divBdr>
              <w:divsChild>
                <w:div w:id="144973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2091</Words>
  <Characters>12132</Characters>
  <Application>Microsoft Office Word</Application>
  <DocSecurity>0</DocSecurity>
  <Lines>101</Lines>
  <Paragraphs>28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2021-04-09T06:40:00Z</dcterms:created>
  <dcterms:modified xsi:type="dcterms:W3CDTF">2021-04-09T06:57:00Z</dcterms:modified>
</cp:coreProperties>
</file>